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关于</w:t>
      </w:r>
      <w:r>
        <w:rPr>
          <w:rFonts w:hint="eastAsia" w:ascii="方正小标宋简体" w:eastAsia="方正小标宋简体"/>
          <w:sz w:val="44"/>
          <w:szCs w:val="44"/>
          <w:lang w:val="en-US" w:eastAsia="zh-CN"/>
        </w:rPr>
        <w:t>大数据产业园非机动车停车位项目建设配套设施（遮阳棚）采购</w:t>
      </w:r>
      <w:r>
        <w:rPr>
          <w:rFonts w:hint="eastAsia" w:ascii="方正小标宋简体" w:eastAsia="方正小标宋简体"/>
          <w:sz w:val="44"/>
          <w:szCs w:val="44"/>
        </w:rPr>
        <w:t>竞争性谈判的公告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left="-105" w:leftChars="-50" w:right="-210" w:rightChars="-100"/>
        <w:jc w:val="left"/>
        <w:rPr>
          <w:rFonts w:ascii="仿宋_GB2312"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我公司拟对</w:t>
      </w:r>
      <w:r>
        <w:rPr>
          <w:rFonts w:hint="eastAsia" w:ascii="仿宋_GB2312" w:hAnsi="宋体" w:eastAsia="仿宋_GB2312"/>
          <w:sz w:val="32"/>
          <w:szCs w:val="32"/>
          <w:u w:val="single"/>
          <w:lang w:val="en-US" w:eastAsia="zh-CN"/>
        </w:rPr>
        <w:t>大数据产业园非机动车停车位项目建设配套设施（遮阳棚）采购</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spacing w:line="560" w:lineRule="exact"/>
        <w:ind w:right="-210" w:rightChars="-100" w:firstLine="640" w:firstLineChars="200"/>
        <w:jc w:val="left"/>
        <w:rPr>
          <w:rFonts w:ascii="仿宋_GB2312" w:eastAsia="仿宋_GB2312"/>
          <w:bCs/>
          <w:sz w:val="32"/>
          <w:szCs w:val="32"/>
        </w:rPr>
      </w:pPr>
      <w:r>
        <w:rPr>
          <w:rFonts w:hint="eastAsia" w:ascii="仿宋_GB2312" w:eastAsia="仿宋_GB2312"/>
          <w:bCs/>
          <w:sz w:val="32"/>
          <w:szCs w:val="32"/>
        </w:rPr>
        <w:t>1、采购项目名称：</w:t>
      </w:r>
      <w:r>
        <w:rPr>
          <w:rFonts w:hint="eastAsia" w:ascii="仿宋_GB2312" w:hAnsi="宋体" w:eastAsia="仿宋_GB2312"/>
          <w:sz w:val="32"/>
          <w:szCs w:val="32"/>
          <w:u w:val="single"/>
          <w:lang w:val="en-US" w:eastAsia="zh-CN"/>
        </w:rPr>
        <w:t>大数据产业园非机动车停车位项目建设配套设施（遮阳棚）采购</w:t>
      </w:r>
      <w:r>
        <w:rPr>
          <w:rFonts w:hint="eastAsia" w:ascii="仿宋_GB2312" w:eastAsia="仿宋_GB2312"/>
          <w:bCs/>
          <w:sz w:val="32"/>
          <w:szCs w:val="32"/>
        </w:rPr>
        <w:t>。</w:t>
      </w:r>
    </w:p>
    <w:p>
      <w:pPr>
        <w:spacing w:line="560" w:lineRule="exact"/>
        <w:ind w:firstLine="640" w:firstLineChars="200"/>
        <w:jc w:val="both"/>
        <w:rPr>
          <w:rFonts w:ascii="仿宋_GB2312" w:eastAsia="仿宋_GB2312"/>
          <w:bCs/>
          <w:sz w:val="32"/>
          <w:szCs w:val="32"/>
        </w:rPr>
      </w:pPr>
      <w:r>
        <w:rPr>
          <w:rFonts w:hint="eastAsia" w:ascii="仿宋_GB2312" w:eastAsia="仿宋_GB2312"/>
          <w:bCs/>
          <w:sz w:val="32"/>
          <w:szCs w:val="32"/>
        </w:rPr>
        <w:t>2、项目内容：</w:t>
      </w:r>
      <w:r>
        <w:rPr>
          <w:rFonts w:hint="eastAsia" w:ascii="仿宋_GB2312" w:eastAsia="仿宋_GB2312"/>
          <w:bCs/>
          <w:sz w:val="32"/>
          <w:szCs w:val="32"/>
          <w:lang w:val="en-US" w:eastAsia="zh-CN"/>
        </w:rPr>
        <w:t>雅安经济开发区市政建筑工程有限公司非机动车停车位遮阳棚采购（详见清单）。</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eastAsia="仿宋_GB2312"/>
          <w:bCs/>
          <w:sz w:val="32"/>
          <w:szCs w:val="32"/>
          <w:lang w:eastAsia="zh-CN"/>
        </w:rPr>
        <w:t>：</w:t>
      </w:r>
      <w:r>
        <w:rPr>
          <w:rFonts w:hint="eastAsia" w:ascii="仿宋_GB2312" w:hAnsi="宋体" w:eastAsia="仿宋_GB2312"/>
          <w:sz w:val="32"/>
          <w:szCs w:val="32"/>
          <w:u w:val="single"/>
          <w:lang w:val="en-US" w:eastAsia="zh-CN"/>
        </w:rPr>
        <w:t>86500元</w:t>
      </w:r>
      <w:r>
        <w:rPr>
          <w:rFonts w:hint="eastAsia" w:ascii="仿宋_GB2312" w:eastAsia="仿宋_GB2312"/>
          <w:bCs/>
          <w:sz w:val="32"/>
          <w:szCs w:val="32"/>
        </w:rPr>
        <w:t>（超过采购预算的报价为无效报价）。</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4、</w:t>
      </w:r>
      <w:r>
        <w:rPr>
          <w:rFonts w:hint="eastAsia" w:ascii="仿宋_GB2312" w:eastAsia="仿宋_GB2312"/>
          <w:bCs/>
          <w:sz w:val="32"/>
          <w:szCs w:val="32"/>
          <w:lang w:val="en-US" w:eastAsia="zh-CN"/>
        </w:rPr>
        <w:t>期限</w:t>
      </w:r>
      <w:r>
        <w:rPr>
          <w:rFonts w:hint="eastAsia" w:ascii="仿宋_GB2312" w:eastAsia="仿宋_GB2312"/>
          <w:bCs/>
          <w:sz w:val="32"/>
          <w:szCs w:val="32"/>
        </w:rPr>
        <w:t>、质量</w:t>
      </w:r>
    </w:p>
    <w:p>
      <w:pPr>
        <w:spacing w:line="560" w:lineRule="exact"/>
        <w:ind w:left="-105" w:leftChars="-50" w:right="-210" w:rightChars="-100" w:firstLine="640" w:firstLineChars="200"/>
        <w:jc w:val="left"/>
        <w:rPr>
          <w:rFonts w:hint="eastAsia" w:ascii="仿宋_GB2312" w:eastAsia="仿宋_GB2312"/>
          <w:bCs/>
          <w:sz w:val="32"/>
          <w:szCs w:val="32"/>
          <w:highlight w:val="none"/>
          <w:lang w:val="en-US" w:eastAsia="zh-CN"/>
        </w:rPr>
      </w:pPr>
      <w:r>
        <w:rPr>
          <w:rFonts w:hint="eastAsia" w:ascii="仿宋_GB2312" w:eastAsia="仿宋_GB2312"/>
          <w:bCs/>
          <w:sz w:val="32"/>
          <w:szCs w:val="32"/>
        </w:rPr>
        <w:t>4.1</w:t>
      </w:r>
      <w:r>
        <w:rPr>
          <w:rFonts w:hint="eastAsia" w:ascii="仿宋_GB2312" w:eastAsia="仿宋_GB2312"/>
          <w:bCs/>
          <w:sz w:val="32"/>
          <w:szCs w:val="32"/>
          <w:lang w:val="en-US" w:eastAsia="zh-CN"/>
        </w:rPr>
        <w:t>计划交货期</w:t>
      </w:r>
      <w:r>
        <w:rPr>
          <w:rFonts w:hint="eastAsia" w:ascii="仿宋_GB2312" w:eastAsia="仿宋_GB2312"/>
          <w:bCs/>
          <w:sz w:val="32"/>
          <w:szCs w:val="32"/>
        </w:rPr>
        <w:t>：</w:t>
      </w:r>
      <w:r>
        <w:rPr>
          <w:rFonts w:hint="eastAsia" w:ascii="仿宋_GB2312" w:eastAsia="仿宋_GB2312"/>
          <w:bCs/>
          <w:sz w:val="32"/>
          <w:szCs w:val="32"/>
          <w:lang w:val="en-US" w:eastAsia="zh-CN"/>
        </w:rPr>
        <w:t xml:space="preserve"> </w:t>
      </w:r>
      <w:r>
        <w:rPr>
          <w:rFonts w:hint="eastAsia" w:ascii="仿宋_GB2312" w:eastAsia="仿宋_GB2312"/>
          <w:bCs/>
          <w:sz w:val="32"/>
          <w:szCs w:val="32"/>
          <w:highlight w:val="none"/>
          <w:lang w:val="en-US" w:eastAsia="zh-CN"/>
        </w:rPr>
        <w:t>合同签订后7个日历天内；</w:t>
      </w:r>
    </w:p>
    <w:p>
      <w:pPr>
        <w:pStyle w:val="2"/>
        <w:rPr>
          <w:rFonts w:hint="eastAsia" w:ascii="仿宋_GB2312" w:hAnsi="Calibri" w:eastAsia="仿宋_GB2312" w:cs="黑体"/>
          <w:bCs/>
          <w:kern w:val="2"/>
          <w:sz w:val="32"/>
          <w:szCs w:val="32"/>
          <w:lang w:val="en-US" w:eastAsia="zh-CN" w:bidi="ar-SA"/>
        </w:rPr>
      </w:pPr>
      <w:r>
        <w:rPr>
          <w:rFonts w:hint="eastAsia" w:ascii="仿宋_GB2312" w:eastAsia="仿宋_GB2312"/>
          <w:bCs/>
          <w:sz w:val="32"/>
          <w:szCs w:val="32"/>
          <w:lang w:val="en-US" w:eastAsia="zh-CN"/>
        </w:rPr>
        <w:t xml:space="preserve">   4.2 </w:t>
      </w:r>
      <w:r>
        <w:rPr>
          <w:rFonts w:hint="eastAsia" w:ascii="仿宋_GB2312" w:hAnsi="Calibri" w:eastAsia="仿宋_GB2312" w:cs="黑体"/>
          <w:bCs/>
          <w:kern w:val="2"/>
          <w:sz w:val="32"/>
          <w:szCs w:val="32"/>
          <w:lang w:val="en-US" w:eastAsia="zh-CN" w:bidi="ar-SA"/>
        </w:rPr>
        <w:t xml:space="preserve">交货地点： 雅安市经开区滨河东路3号 </w:t>
      </w:r>
    </w:p>
    <w:p>
      <w:pPr>
        <w:pStyle w:val="2"/>
        <w:ind w:firstLine="640" w:firstLineChars="200"/>
        <w:rPr>
          <w:rFonts w:hint="eastAsia" w:ascii="仿宋_GB2312" w:eastAsia="仿宋_GB2312"/>
          <w:bCs/>
          <w:sz w:val="32"/>
          <w:szCs w:val="32"/>
        </w:rPr>
      </w:pPr>
      <w:r>
        <w:rPr>
          <w:rFonts w:hint="eastAsia" w:ascii="仿宋_GB2312" w:eastAsia="仿宋_GB2312"/>
          <w:bCs/>
          <w:sz w:val="32"/>
          <w:szCs w:val="32"/>
        </w:rPr>
        <w:t>4.</w:t>
      </w:r>
      <w:r>
        <w:rPr>
          <w:rFonts w:hint="eastAsia" w:ascii="仿宋_GB2312" w:eastAsia="仿宋_GB2312"/>
          <w:bCs/>
          <w:sz w:val="32"/>
          <w:szCs w:val="32"/>
          <w:lang w:val="en-US" w:eastAsia="zh-CN"/>
        </w:rPr>
        <w:t>3</w:t>
      </w:r>
      <w:r>
        <w:rPr>
          <w:rFonts w:hint="eastAsia" w:ascii="仿宋_GB2312" w:eastAsia="仿宋_GB2312"/>
          <w:bCs/>
          <w:sz w:val="32"/>
          <w:szCs w:val="32"/>
        </w:rPr>
        <w:t>主要技术性能指标：满足国家标准</w:t>
      </w:r>
      <w:r>
        <w:rPr>
          <w:rFonts w:hint="eastAsia" w:ascii="仿宋_GB2312" w:eastAsia="仿宋_GB2312"/>
          <w:bCs/>
          <w:sz w:val="32"/>
          <w:szCs w:val="32"/>
          <w:lang w:eastAsia="zh-CN"/>
        </w:rPr>
        <w:t>（</w:t>
      </w:r>
      <w:r>
        <w:rPr>
          <w:rFonts w:hint="eastAsia" w:ascii="仿宋_GB2312" w:eastAsia="仿宋_GB2312"/>
          <w:bCs/>
          <w:sz w:val="32"/>
          <w:szCs w:val="32"/>
        </w:rPr>
        <w:t>详见</w:t>
      </w:r>
      <w:r>
        <w:rPr>
          <w:rFonts w:hint="eastAsia" w:ascii="仿宋_GB2312" w:eastAsia="仿宋_GB2312"/>
          <w:bCs/>
          <w:sz w:val="32"/>
          <w:szCs w:val="32"/>
          <w:lang w:val="en-US" w:eastAsia="zh-CN"/>
        </w:rPr>
        <w:t>附件技术参数）</w:t>
      </w:r>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5、条件要求：</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5.1资格条件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（2）具有良好的商业信誉和健全的财务会计制度；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（3）具有履行合同所必需的设备和专业技术能力；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（4）有依法缴纳税收和社会保障资金的良好记录；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（5）参加采购活动前三年内，在经营活动中没有重大违法记录；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ascii="仿宋_GB2312" w:eastAsia="仿宋_GB2312"/>
          <w:bCs/>
          <w:color w:val="auto"/>
          <w:sz w:val="32"/>
          <w:szCs w:val="32"/>
        </w:rPr>
      </w:pPr>
      <w:bookmarkStart w:id="1" w:name="_Toc478038762"/>
      <w:r>
        <w:rPr>
          <w:rFonts w:hint="eastAsia" w:ascii="仿宋_GB2312" w:eastAsia="仿宋_GB2312"/>
          <w:bCs/>
          <w:sz w:val="32"/>
          <w:szCs w:val="32"/>
        </w:rPr>
        <w:t>（7）根据采购项目提出的特殊条件</w:t>
      </w:r>
      <w:bookmarkEnd w:id="1"/>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color w:val="auto"/>
          <w:sz w:val="32"/>
          <w:szCs w:val="32"/>
          <w:highlight w:val="none"/>
        </w:rPr>
      </w:pPr>
      <w:r>
        <w:rPr>
          <w:rFonts w:hint="eastAsia" w:ascii="仿宋_GB2312" w:eastAsia="仿宋_GB2312"/>
          <w:bCs/>
          <w:color w:val="auto"/>
          <w:sz w:val="32"/>
          <w:szCs w:val="32"/>
        </w:rPr>
        <w:t>二轮报价的竞价原则为，现场报价完成后，经评审的不含税价最低价中标。</w:t>
      </w:r>
      <w:r>
        <w:rPr>
          <w:rFonts w:hint="eastAsia" w:ascii="仿宋_GB2312" w:eastAsia="仿宋_GB2312"/>
          <w:bCs/>
          <w:color w:val="auto"/>
          <w:sz w:val="32"/>
          <w:szCs w:val="32"/>
          <w:highlight w:val="none"/>
        </w:rPr>
        <w:t>供应商须</w:t>
      </w:r>
      <w:r>
        <w:rPr>
          <w:rFonts w:hint="eastAsia" w:ascii="仿宋_GB2312" w:eastAsia="仿宋_GB2312"/>
          <w:bCs/>
          <w:color w:val="auto"/>
          <w:sz w:val="32"/>
          <w:szCs w:val="32"/>
          <w:highlight w:val="none"/>
          <w:lang w:val="en-US" w:eastAsia="zh-CN"/>
        </w:rPr>
        <w:t>在本公告发布之日前已</w:t>
      </w:r>
      <w:r>
        <w:rPr>
          <w:rFonts w:hint="eastAsia" w:ascii="仿宋_GB2312" w:eastAsia="仿宋_GB2312"/>
          <w:bCs/>
          <w:color w:val="auto"/>
          <w:sz w:val="32"/>
          <w:szCs w:val="32"/>
          <w:highlight w:val="none"/>
        </w:rPr>
        <w:t>为雅安经济开发区市政建筑工程有限公司平台库中供应商。</w:t>
      </w:r>
    </w:p>
    <w:p>
      <w:pPr>
        <w:spacing w:line="560" w:lineRule="exact"/>
        <w:ind w:left="-105" w:leftChars="-50" w:right="-210" w:rightChars="-100" w:firstLine="640" w:firstLineChars="200"/>
        <w:jc w:val="left"/>
        <w:rPr>
          <w:rFonts w:hint="default" w:ascii="仿宋_GB2312" w:eastAsia="仿宋_GB2312"/>
          <w:bCs/>
          <w:color w:val="auto"/>
          <w:sz w:val="32"/>
          <w:szCs w:val="32"/>
          <w:highlight w:val="none"/>
          <w:lang w:val="en-US" w:eastAsia="zh-CN"/>
        </w:rPr>
      </w:pPr>
      <w:r>
        <w:rPr>
          <w:rFonts w:hint="eastAsia" w:ascii="仿宋_GB2312" w:eastAsia="仿宋_GB2312"/>
          <w:bCs/>
          <w:color w:val="auto"/>
          <w:sz w:val="32"/>
          <w:szCs w:val="32"/>
          <w:highlight w:val="none"/>
        </w:rPr>
        <w:t>5.2资质条件：</w:t>
      </w:r>
      <w:r>
        <w:rPr>
          <w:rFonts w:hint="eastAsia" w:ascii="仿宋_GB2312" w:eastAsia="仿宋_GB2312"/>
          <w:bCs/>
          <w:color w:val="auto"/>
          <w:sz w:val="32"/>
          <w:szCs w:val="32"/>
          <w:highlight w:val="none"/>
          <w:lang w:eastAsia="zh-CN"/>
        </w:rPr>
        <w:t>（</w:t>
      </w:r>
      <w:r>
        <w:rPr>
          <w:rFonts w:hint="eastAsia" w:ascii="仿宋_GB2312" w:eastAsia="仿宋_GB2312"/>
          <w:bCs/>
          <w:color w:val="auto"/>
          <w:sz w:val="32"/>
          <w:szCs w:val="32"/>
          <w:highlight w:val="none"/>
          <w:lang w:val="en-US" w:eastAsia="zh-CN"/>
        </w:rPr>
        <w:t>1）供应商需具有独立法人资格，具有生产或销售本次采购货物资格的企业</w:t>
      </w:r>
      <w:r>
        <w:rPr>
          <w:rFonts w:hint="eastAsia" w:ascii="仿宋_GB2312" w:eastAsia="仿宋_GB2312"/>
          <w:bCs/>
          <w:color w:val="auto"/>
          <w:sz w:val="32"/>
          <w:szCs w:val="32"/>
          <w:highlight w:val="none"/>
        </w:rPr>
        <w:t>。</w:t>
      </w:r>
    </w:p>
    <w:p>
      <w:pPr>
        <w:spacing w:line="560" w:lineRule="exact"/>
        <w:ind w:right="-210" w:rightChars="-100" w:firstLine="640" w:firstLineChars="200"/>
        <w:jc w:val="left"/>
        <w:rPr>
          <w:rFonts w:hint="eastAsia" w:ascii="仿宋_GB2312" w:eastAsia="仿宋_GB2312"/>
          <w:bCs/>
          <w:color w:val="auto"/>
          <w:sz w:val="32"/>
          <w:szCs w:val="32"/>
        </w:rPr>
      </w:pPr>
      <w:r>
        <w:rPr>
          <w:rFonts w:hint="eastAsia" w:ascii="仿宋_GB2312" w:eastAsia="仿宋_GB2312"/>
          <w:bCs/>
          <w:color w:val="auto"/>
          <w:sz w:val="32"/>
          <w:szCs w:val="32"/>
        </w:rPr>
        <w:t>6、获取谈判文件的时间、方式：自</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 xml:space="preserve"> 9</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26</w:t>
      </w:r>
      <w:r>
        <w:rPr>
          <w:rFonts w:hint="eastAsia" w:ascii="仿宋_GB2312" w:eastAsia="仿宋_GB2312"/>
          <w:bCs/>
          <w:color w:val="auto"/>
          <w:sz w:val="32"/>
          <w:szCs w:val="32"/>
        </w:rPr>
        <w:t>日起，</w:t>
      </w:r>
      <w:r>
        <w:rPr>
          <w:rFonts w:hint="eastAsia" w:ascii="仿宋_GB2312" w:eastAsia="仿宋_GB2312"/>
          <w:bCs/>
          <w:color w:val="auto"/>
          <w:sz w:val="32"/>
          <w:szCs w:val="32"/>
          <w:lang w:val="en-US" w:eastAsia="zh-CN"/>
        </w:rPr>
        <w:t>在</w:t>
      </w:r>
      <w:r>
        <w:rPr>
          <w:rFonts w:hint="eastAsia" w:ascii="仿宋_GB2312" w:eastAsia="仿宋_GB2312"/>
          <w:bCs/>
          <w:color w:val="auto"/>
          <w:sz w:val="32"/>
          <w:szCs w:val="32"/>
          <w:lang w:eastAsia="zh-CN"/>
        </w:rPr>
        <w:t>雅安产业投资（集团）有限公司官方网站（网址：http://www.yact.com.cn/），</w:t>
      </w:r>
      <w:r>
        <w:rPr>
          <w:rFonts w:hint="eastAsia" w:ascii="仿宋_GB2312" w:eastAsia="仿宋_GB2312"/>
          <w:bCs/>
          <w:color w:val="auto"/>
          <w:sz w:val="32"/>
          <w:szCs w:val="32"/>
          <w:highlight w:val="none"/>
          <w:lang w:eastAsia="zh-CN"/>
        </w:rPr>
        <w:t>雅安经济开发区市政建筑工程有限公司电子采购平台：“http://www.builderp.cn/YASZJC/”</w:t>
      </w:r>
      <w:r>
        <w:rPr>
          <w:rFonts w:hint="eastAsia" w:ascii="仿宋_GB2312" w:eastAsia="仿宋_GB2312"/>
          <w:bCs/>
          <w:color w:val="auto"/>
          <w:sz w:val="32"/>
          <w:szCs w:val="32"/>
          <w:lang w:val="en-US" w:eastAsia="zh-CN"/>
        </w:rPr>
        <w:t>官网</w:t>
      </w:r>
      <w:r>
        <w:rPr>
          <w:rFonts w:hint="eastAsia" w:ascii="仿宋_GB2312" w:eastAsia="仿宋_GB2312"/>
          <w:bCs/>
          <w:color w:val="auto"/>
          <w:sz w:val="32"/>
          <w:szCs w:val="32"/>
        </w:rPr>
        <w:t>上下载采购文件；</w:t>
      </w:r>
    </w:p>
    <w:p>
      <w:pPr>
        <w:spacing w:line="560" w:lineRule="exact"/>
        <w:ind w:left="533" w:leftChars="254" w:right="-210" w:rightChars="-100" w:firstLine="0" w:firstLineChars="0"/>
        <w:jc w:val="left"/>
        <w:rPr>
          <w:rFonts w:ascii="仿宋_GB2312" w:eastAsia="仿宋_GB2312"/>
          <w:bCs/>
          <w:color w:val="auto"/>
          <w:sz w:val="32"/>
          <w:szCs w:val="32"/>
        </w:rPr>
      </w:pPr>
      <w:r>
        <w:rPr>
          <w:rFonts w:hint="eastAsia" w:ascii="仿宋_GB2312" w:eastAsia="仿宋_GB2312"/>
          <w:bCs/>
          <w:color w:val="auto"/>
          <w:sz w:val="32"/>
          <w:szCs w:val="32"/>
        </w:rPr>
        <w:t>7、竞争性谈判文件递交截止时间：</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 xml:space="preserve"> 9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29 </w:t>
      </w:r>
      <w:r>
        <w:rPr>
          <w:rFonts w:hint="eastAsia" w:ascii="仿宋_GB2312" w:eastAsia="仿宋_GB2312"/>
          <w:bCs/>
          <w:color w:val="auto"/>
          <w:sz w:val="32"/>
          <w:szCs w:val="32"/>
        </w:rPr>
        <w:t>日</w:t>
      </w:r>
      <w:r>
        <w:rPr>
          <w:rFonts w:hint="eastAsia" w:ascii="仿宋_GB2312" w:eastAsia="仿宋_GB2312"/>
          <w:bCs/>
          <w:color w:val="auto"/>
          <w:sz w:val="32"/>
          <w:szCs w:val="32"/>
          <w:u w:val="single"/>
          <w:lang w:val="en-US" w:eastAsia="zh-CN"/>
        </w:rPr>
        <w:t xml:space="preserve">15 </w:t>
      </w:r>
      <w:r>
        <w:rPr>
          <w:rFonts w:hint="eastAsia" w:ascii="仿宋_GB2312" w:eastAsia="仿宋_GB2312"/>
          <w:bCs/>
          <w:color w:val="auto"/>
          <w:sz w:val="32"/>
          <w:szCs w:val="32"/>
        </w:rPr>
        <w:t>时</w:t>
      </w:r>
      <w:r>
        <w:rPr>
          <w:rFonts w:hint="eastAsia" w:ascii="仿宋_GB2312" w:eastAsia="仿宋_GB2312"/>
          <w:bCs/>
          <w:color w:val="auto"/>
          <w:sz w:val="32"/>
          <w:szCs w:val="32"/>
          <w:u w:val="single"/>
          <w:lang w:val="en-US" w:eastAsia="zh-CN"/>
        </w:rPr>
        <w:t>00</w:t>
      </w:r>
      <w:r>
        <w:rPr>
          <w:rFonts w:hint="eastAsia" w:ascii="仿宋_GB2312" w:eastAsia="仿宋_GB2312"/>
          <w:bCs/>
          <w:color w:val="auto"/>
          <w:sz w:val="32"/>
          <w:szCs w:val="32"/>
        </w:rPr>
        <w:t>分（北京时间）；</w:t>
      </w:r>
    </w:p>
    <w:p>
      <w:pPr>
        <w:spacing w:line="560" w:lineRule="exact"/>
        <w:ind w:left="-105" w:leftChars="-50" w:right="-210" w:rightChars="-100" w:firstLine="640" w:firstLineChars="200"/>
        <w:jc w:val="left"/>
        <w:rPr>
          <w:rFonts w:ascii="仿宋_GB2312" w:eastAsia="仿宋_GB2312"/>
          <w:bCs/>
          <w:color w:val="auto"/>
          <w:sz w:val="32"/>
          <w:szCs w:val="32"/>
        </w:rPr>
      </w:pPr>
      <w:r>
        <w:rPr>
          <w:rFonts w:hint="eastAsia" w:ascii="仿宋_GB2312" w:eastAsia="仿宋_GB2312"/>
          <w:bCs/>
          <w:color w:val="auto"/>
          <w:sz w:val="32"/>
          <w:szCs w:val="32"/>
        </w:rPr>
        <w:t>8、谈判时间：</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 xml:space="preserve"> </w:t>
      </w:r>
      <w:r>
        <w:rPr>
          <w:rFonts w:hint="eastAsia" w:ascii="仿宋_GB2312" w:eastAsia="仿宋_GB2312"/>
          <w:bCs/>
          <w:color w:val="auto"/>
          <w:sz w:val="32"/>
          <w:szCs w:val="32"/>
          <w:u w:val="single"/>
          <w:lang w:val="en-US" w:eastAsia="zh-CN"/>
        </w:rPr>
        <w:t xml:space="preserve">9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29</w:t>
      </w:r>
      <w:r>
        <w:rPr>
          <w:rFonts w:hint="eastAsia" w:ascii="仿宋_GB2312" w:eastAsia="仿宋_GB2312"/>
          <w:bCs/>
          <w:color w:val="auto"/>
          <w:sz w:val="32"/>
          <w:szCs w:val="32"/>
        </w:rPr>
        <w:t>日</w:t>
      </w:r>
      <w:r>
        <w:rPr>
          <w:rFonts w:hint="eastAsia" w:ascii="仿宋_GB2312" w:eastAsia="仿宋_GB2312"/>
          <w:bCs/>
          <w:color w:val="auto"/>
          <w:sz w:val="32"/>
          <w:szCs w:val="32"/>
          <w:u w:val="single"/>
          <w:lang w:val="en-US" w:eastAsia="zh-CN"/>
        </w:rPr>
        <w:t xml:space="preserve">15 </w:t>
      </w:r>
      <w:r>
        <w:rPr>
          <w:rFonts w:hint="eastAsia" w:ascii="仿宋_GB2312" w:eastAsia="仿宋_GB2312"/>
          <w:bCs/>
          <w:color w:val="auto"/>
          <w:sz w:val="32"/>
          <w:szCs w:val="32"/>
        </w:rPr>
        <w:t>时</w:t>
      </w:r>
      <w:r>
        <w:rPr>
          <w:rFonts w:hint="eastAsia" w:ascii="仿宋_GB2312" w:eastAsia="仿宋_GB2312"/>
          <w:bCs/>
          <w:color w:val="auto"/>
          <w:sz w:val="32"/>
          <w:szCs w:val="32"/>
          <w:u w:val="single"/>
          <w:lang w:val="en-US" w:eastAsia="zh-CN"/>
        </w:rPr>
        <w:t xml:space="preserve"> 00 </w:t>
      </w:r>
      <w:r>
        <w:rPr>
          <w:rFonts w:hint="eastAsia" w:ascii="仿宋_GB2312" w:eastAsia="仿宋_GB2312"/>
          <w:bCs/>
          <w:color w:val="auto"/>
          <w:sz w:val="32"/>
          <w:szCs w:val="32"/>
        </w:rPr>
        <w:t>分（北京时间）；</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eastAsia="仿宋_GB2312"/>
          <w:bCs/>
          <w:color w:val="auto"/>
          <w:sz w:val="32"/>
          <w:szCs w:val="32"/>
        </w:rPr>
        <w:t>9、竞争性谈判文件递交地点和谈判地点：</w:t>
      </w:r>
      <w:r>
        <w:rPr>
          <w:rFonts w:hint="eastAsia" w:ascii="仿宋_GB2312" w:hAnsi="宋体" w:eastAsia="仿宋_GB2312"/>
          <w:color w:val="auto"/>
          <w:sz w:val="32"/>
          <w:szCs w:val="32"/>
          <w:lang w:val="en-US" w:eastAsia="zh-CN"/>
        </w:rPr>
        <w:t>雅安经开区滨河东</w:t>
      </w:r>
      <w:r>
        <w:rPr>
          <w:rFonts w:hint="eastAsia" w:ascii="仿宋_GB2312" w:hAnsi="宋体" w:eastAsia="仿宋_GB2312"/>
          <w:sz w:val="32"/>
          <w:szCs w:val="32"/>
          <w:lang w:val="en-US" w:eastAsia="zh-CN"/>
        </w:rPr>
        <w:t>路3号产投集团2楼1205</w:t>
      </w:r>
      <w:r>
        <w:rPr>
          <w:rFonts w:hint="eastAsia" w:ascii="仿宋_GB2312" w:hAnsi="宋体" w:eastAsia="仿宋_GB2312"/>
          <w:sz w:val="32"/>
          <w:szCs w:val="32"/>
        </w:rPr>
        <w:t>室。</w:t>
      </w:r>
    </w:p>
    <w:p>
      <w:pPr>
        <w:spacing w:line="560" w:lineRule="exact"/>
        <w:ind w:left="-105" w:leftChars="-50" w:right="-210" w:rightChars="-100" w:firstLine="640" w:firstLineChars="200"/>
        <w:jc w:val="left"/>
        <w:rPr>
          <w:rFonts w:ascii="仿宋_GB2312" w:hAnsi="宋体" w:eastAsia="仿宋_GB2312"/>
          <w:b/>
          <w:bCs/>
          <w:sz w:val="32"/>
          <w:szCs w:val="32"/>
        </w:rPr>
      </w:pPr>
      <w:r>
        <w:rPr>
          <w:rFonts w:hint="eastAsia" w:ascii="仿宋_GB2312" w:hAnsi="宋体" w:eastAsia="仿宋_GB2312"/>
          <w:bCs/>
          <w:sz w:val="32"/>
          <w:szCs w:val="32"/>
        </w:rPr>
        <w:t>10、注意事项</w:t>
      </w:r>
      <w:r>
        <w:rPr>
          <w:rFonts w:hint="eastAsia" w:ascii="仿宋_GB2312" w:hAnsi="宋体" w:eastAsia="仿宋_GB2312"/>
          <w:b/>
          <w:bCs/>
          <w:sz w:val="32"/>
          <w:szCs w:val="32"/>
        </w:rPr>
        <w:t>：</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10.1竞争性谈判文件</w:t>
      </w:r>
      <w:r>
        <w:rPr>
          <w:rFonts w:hint="eastAsia" w:ascii="仿宋_GB2312" w:eastAsia="仿宋_GB2312"/>
          <w:sz w:val="32"/>
          <w:szCs w:val="32"/>
        </w:rPr>
        <w:t>逾期报送的报价资料将不予接收；</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10.2二轮报价不得超过首轮报价，超过者视为谈判无效；</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10.3投标人参加竞争性谈判的有关费用由投标人自行承担。</w:t>
      </w:r>
    </w:p>
    <w:p>
      <w:pPr>
        <w:spacing w:line="360" w:lineRule="auto"/>
        <w:jc w:val="left"/>
        <w:rPr>
          <w:rFonts w:ascii="仿宋_GB2312" w:hAnsi="宋体"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10.4报价包含材料、</w:t>
      </w:r>
      <w:r>
        <w:rPr>
          <w:rFonts w:hint="eastAsia" w:ascii="仿宋_GB2312" w:hAnsi="宋体" w:eastAsia="仿宋_GB2312"/>
          <w:sz w:val="32"/>
          <w:szCs w:val="32"/>
          <w:lang w:val="en-US" w:eastAsia="zh-CN"/>
        </w:rPr>
        <w:t>安装</w:t>
      </w:r>
      <w:r>
        <w:rPr>
          <w:rFonts w:hint="eastAsia" w:ascii="仿宋_GB2312" w:hAnsi="宋体" w:eastAsia="仿宋_GB2312"/>
          <w:sz w:val="32"/>
          <w:szCs w:val="32"/>
        </w:rPr>
        <w:t>、</w:t>
      </w:r>
      <w:r>
        <w:rPr>
          <w:rFonts w:hint="eastAsia" w:ascii="仿宋_GB2312" w:hAnsi="宋体" w:eastAsia="仿宋_GB2312"/>
          <w:sz w:val="32"/>
          <w:szCs w:val="32"/>
          <w:lang w:eastAsia="zh-CN"/>
        </w:rPr>
        <w:t>人工、</w:t>
      </w:r>
      <w:r>
        <w:rPr>
          <w:rFonts w:hint="eastAsia" w:ascii="仿宋_GB2312" w:hAnsi="宋体" w:eastAsia="仿宋_GB2312"/>
          <w:sz w:val="32"/>
          <w:szCs w:val="32"/>
        </w:rPr>
        <w:t>运输</w:t>
      </w:r>
      <w:r>
        <w:rPr>
          <w:rFonts w:hint="eastAsia" w:ascii="仿宋_GB2312" w:hAnsi="宋体" w:eastAsia="仿宋_GB2312" w:cs="仿宋_GB2312"/>
          <w:sz w:val="28"/>
          <w:szCs w:val="28"/>
        </w:rPr>
        <w:t>、税金和保险</w:t>
      </w:r>
      <w:r>
        <w:rPr>
          <w:rFonts w:hint="eastAsia" w:ascii="仿宋_GB2312" w:hAnsi="宋体" w:eastAsia="仿宋_GB2312"/>
          <w:sz w:val="32"/>
          <w:szCs w:val="32"/>
        </w:rPr>
        <w:t>等综合费用。</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联系人：</w:t>
      </w:r>
      <w:r>
        <w:rPr>
          <w:rFonts w:hint="eastAsia" w:ascii="仿宋_GB2312" w:hAnsi="宋体" w:eastAsia="仿宋_GB2312"/>
          <w:sz w:val="28"/>
          <w:szCs w:val="28"/>
          <w:lang w:val="en-US" w:eastAsia="zh-CN"/>
        </w:rPr>
        <w:t>李先生</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color w:val="auto"/>
          <w:sz w:val="32"/>
          <w:szCs w:val="32"/>
        </w:rPr>
      </w:pPr>
      <w:r>
        <w:rPr>
          <w:rFonts w:hint="eastAsia" w:ascii="仿宋_GB2312" w:eastAsia="仿宋_GB2312"/>
          <w:bCs/>
          <w:color w:val="auto"/>
          <w:sz w:val="32"/>
          <w:szCs w:val="32"/>
        </w:rPr>
        <w:t>202</w:t>
      </w:r>
      <w:r>
        <w:rPr>
          <w:rFonts w:hint="eastAsia" w:ascii="仿宋_GB2312" w:eastAsia="仿宋_GB2312"/>
          <w:bCs/>
          <w:color w:val="auto"/>
          <w:sz w:val="32"/>
          <w:szCs w:val="32"/>
          <w:lang w:val="en-US" w:eastAsia="zh-CN"/>
        </w:rPr>
        <w:t>2</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 xml:space="preserve">9 </w:t>
      </w:r>
      <w:r>
        <w:rPr>
          <w:rFonts w:hint="eastAsia" w:ascii="仿宋_GB2312" w:eastAsia="仿宋_GB2312"/>
          <w:bCs/>
          <w:color w:val="auto"/>
          <w:sz w:val="32"/>
          <w:szCs w:val="32"/>
        </w:rPr>
        <w:t>月</w:t>
      </w:r>
      <w:r>
        <w:rPr>
          <w:rFonts w:hint="eastAsia" w:ascii="仿宋_GB2312" w:eastAsia="仿宋_GB2312"/>
          <w:bCs/>
          <w:color w:val="auto"/>
          <w:sz w:val="32"/>
          <w:szCs w:val="32"/>
          <w:lang w:val="en-US" w:eastAsia="zh-CN"/>
        </w:rPr>
        <w:t>25</w:t>
      </w:r>
      <w:r>
        <w:rPr>
          <w:rFonts w:hint="eastAsia" w:ascii="仿宋_GB2312" w:eastAsia="仿宋_GB2312"/>
          <w:bCs/>
          <w:color w:val="auto"/>
          <w:sz w:val="32"/>
          <w:szCs w:val="32"/>
        </w:rPr>
        <w:t>日</w:t>
      </w:r>
    </w:p>
    <w:p>
      <w:pPr>
        <w:widowControl/>
        <w:jc w:val="left"/>
        <w:rPr>
          <w:rFonts w:ascii="仿宋_GB2312" w:eastAsia="仿宋_GB2312"/>
          <w:b/>
          <w:bCs/>
          <w:sz w:val="32"/>
          <w:szCs w:val="32"/>
        </w:rPr>
      </w:pPr>
    </w:p>
    <w:p>
      <w:pPr>
        <w:spacing w:line="560" w:lineRule="exact"/>
        <w:ind w:left="-105" w:leftChars="-50" w:right="-210" w:rightChars="-100" w:firstLine="643" w:firstLineChars="200"/>
        <w:jc w:val="center"/>
        <w:rPr>
          <w:rFonts w:ascii="仿宋_GB2312" w:eastAsia="仿宋_GB2312"/>
          <w:b/>
          <w:bCs/>
          <w:sz w:val="32"/>
          <w:szCs w:val="32"/>
        </w:rPr>
      </w:pPr>
      <w:r>
        <w:rPr>
          <w:rFonts w:hint="eastAsia" w:ascii="仿宋_GB2312" w:eastAsia="仿宋_GB2312"/>
          <w:b/>
          <w:bCs/>
          <w:sz w:val="32"/>
          <w:szCs w:val="32"/>
        </w:rPr>
        <w:t>二、  竞争性谈判须知</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以上单数组成。</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17"/>
        <w:spacing w:line="460" w:lineRule="exact"/>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17"/>
        <w:spacing w:line="460" w:lineRule="exact"/>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17"/>
        <w:spacing w:line="460" w:lineRule="exact"/>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400" w:lineRule="exact"/>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6.谈判程序</w:t>
      </w:r>
    </w:p>
    <w:p>
      <w:pPr>
        <w:pStyle w:val="17"/>
        <w:spacing w:line="460" w:lineRule="exact"/>
        <w:ind w:left="1" w:firstLine="640" w:firstLineChars="200"/>
        <w:rPr>
          <w:rFonts w:ascii="仿宋_GB2312" w:eastAsia="仿宋_GB2312" w:cs="黑体"/>
          <w:bCs/>
          <w:kern w:val="2"/>
          <w:sz w:val="32"/>
          <w:szCs w:val="32"/>
        </w:rPr>
      </w:pPr>
      <w:bookmarkStart w:id="5" w:name="_Toc217446046"/>
      <w:bookmarkStart w:id="6" w:name="_Toc30816479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6.2采购人当场宣布通过和未通过资格审查的供应商名单，同时告知未通过资格审查的供应商其未通过的原因；</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17"/>
        <w:spacing w:line="460" w:lineRule="exact"/>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rPr>
        <w:t xml:space="preserve">   本项目不接受联合体投标</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非单一产品采购项目中，多家投标人提供的部分或所有核心产品品牌相同的，视为提供相同品牌产品。</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投标人，其他投标人的投标文件作为无效投标处理。</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17"/>
        <w:spacing w:line="460" w:lineRule="exact"/>
        <w:ind w:left="1" w:firstLine="643" w:firstLineChars="200"/>
        <w:rPr>
          <w:rFonts w:ascii="仿宋_GB2312" w:eastAsia="仿宋_GB2312" w:cs="黑体"/>
          <w:b/>
          <w:bCs/>
          <w:kern w:val="2"/>
          <w:sz w:val="32"/>
          <w:szCs w:val="32"/>
        </w:rPr>
      </w:pPr>
      <w:bookmarkStart w:id="7" w:name="_Toc308164797"/>
      <w:bookmarkStart w:id="8" w:name="_Toc478038723"/>
      <w:bookmarkStart w:id="9" w:name="_Toc217446047"/>
      <w:r>
        <w:rPr>
          <w:rFonts w:hint="eastAsia" w:ascii="仿宋_GB2312" w:eastAsia="仿宋_GB2312" w:cs="黑体"/>
          <w:b/>
          <w:bCs/>
          <w:kern w:val="2"/>
          <w:sz w:val="32"/>
          <w:szCs w:val="32"/>
        </w:rPr>
        <w:t>9. 知识产权</w:t>
      </w:r>
      <w:bookmarkEnd w:id="7"/>
      <w:bookmarkEnd w:id="8"/>
      <w:bookmarkEnd w:id="9"/>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p>
    <w:p>
      <w:pPr>
        <w:spacing w:line="400" w:lineRule="exact"/>
        <w:ind w:firstLine="627" w:firstLineChars="196"/>
        <w:rPr>
          <w:rFonts w:hint="eastAsia" w:ascii="仿宋_GB2312" w:eastAsia="仿宋_GB2312"/>
          <w:bCs/>
          <w:sz w:val="32"/>
          <w:szCs w:val="32"/>
        </w:rPr>
        <w:sectPr>
          <w:footerReference r:id="rId3" w:type="default"/>
          <w:pgSz w:w="11906" w:h="16838"/>
          <w:pgMar w:top="2268" w:right="1531" w:bottom="2269" w:left="1531" w:header="851" w:footer="992" w:gutter="0"/>
          <w:pgNumType w:fmt="numberInDash"/>
          <w:cols w:space="720" w:num="1"/>
          <w:docGrid w:type="lines" w:linePitch="318" w:charSpace="0"/>
        </w:sect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pStyle w:val="2"/>
      </w:pPr>
    </w:p>
    <w:p>
      <w:pPr>
        <w:spacing w:line="560" w:lineRule="exact"/>
        <w:ind w:right="-210" w:rightChars="-100"/>
        <w:jc w:val="both"/>
        <w:rPr>
          <w:rFonts w:hint="eastAsia" w:ascii="仿宋_GB2312" w:eastAsia="仿宋_GB2312"/>
          <w:b/>
          <w:bCs/>
          <w:sz w:val="32"/>
          <w:szCs w:val="32"/>
        </w:rPr>
      </w:pPr>
    </w:p>
    <w:p>
      <w:pPr>
        <w:spacing w:line="560" w:lineRule="exact"/>
        <w:ind w:right="-210" w:rightChars="-100"/>
        <w:jc w:val="center"/>
        <w:rPr>
          <w:rFonts w:ascii="仿宋_GB2312" w:eastAsia="仿宋_GB2312"/>
          <w:b/>
          <w:bCs/>
          <w:sz w:val="32"/>
          <w:szCs w:val="32"/>
        </w:rPr>
      </w:pPr>
      <w:r>
        <w:rPr>
          <w:rFonts w:hint="eastAsia" w:ascii="仿宋_GB2312" w:eastAsia="仿宋_GB2312"/>
          <w:b/>
          <w:bCs/>
          <w:sz w:val="32"/>
          <w:szCs w:val="32"/>
          <w:lang w:val="en-US" w:eastAsia="zh-CN"/>
        </w:rPr>
        <w:t>三</w:t>
      </w:r>
      <w:r>
        <w:rPr>
          <w:rFonts w:hint="eastAsia" w:ascii="仿宋_GB2312" w:eastAsia="仿宋_GB2312"/>
          <w:b/>
          <w:bCs/>
          <w:sz w:val="32"/>
          <w:szCs w:val="32"/>
        </w:rPr>
        <w:t>、供应商响应文件相关文书格式</w:t>
      </w:r>
    </w:p>
    <w:p>
      <w:pPr>
        <w:spacing w:line="520" w:lineRule="exact"/>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52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val="en-US" w:eastAsia="zh-CN"/>
        </w:rPr>
        <w:t>法定代表人/负责人</w:t>
      </w:r>
      <w:r>
        <w:rPr>
          <w:rFonts w:hint="eastAsia" w:ascii="仿宋_GB2312" w:eastAsia="仿宋_GB2312"/>
          <w:sz w:val="32"/>
          <w:szCs w:val="32"/>
        </w:rPr>
        <w:t>身份证明</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3.法定代表人</w:t>
      </w:r>
      <w:r>
        <w:rPr>
          <w:rFonts w:hint="eastAsia" w:ascii="仿宋_GB2312" w:eastAsia="仿宋_GB2312"/>
          <w:sz w:val="32"/>
          <w:szCs w:val="32"/>
          <w:lang w:val="en-US" w:eastAsia="zh-CN"/>
        </w:rPr>
        <w:t>/负责人</w:t>
      </w:r>
      <w:r>
        <w:rPr>
          <w:rFonts w:hint="eastAsia" w:ascii="仿宋_GB2312" w:eastAsia="仿宋_GB2312"/>
          <w:sz w:val="32"/>
          <w:szCs w:val="32"/>
        </w:rPr>
        <w:t>授权委托书</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4.报价表</w:t>
      </w:r>
    </w:p>
    <w:p>
      <w:pPr>
        <w:spacing w:line="520" w:lineRule="exact"/>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.承诺函</w:t>
      </w:r>
    </w:p>
    <w:p>
      <w:pPr>
        <w:pStyle w:val="2"/>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6.</w:t>
      </w:r>
      <w:r>
        <w:rPr>
          <w:rFonts w:hint="eastAsia" w:ascii="仿宋_GB2312" w:hAnsi="宋体" w:eastAsia="仿宋_GB2312" w:cs="黑体"/>
          <w:kern w:val="2"/>
          <w:sz w:val="32"/>
          <w:szCs w:val="32"/>
          <w:lang w:val="en-US" w:eastAsia="zh-CN" w:bidi="ar-SA"/>
        </w:rPr>
        <w:t>公司关联情况</w:t>
      </w:r>
    </w:p>
    <w:p>
      <w:pPr>
        <w:widowControl/>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sectPr>
          <w:pgSz w:w="11906" w:h="16838"/>
          <w:pgMar w:top="2268" w:right="1531" w:bottom="2268" w:left="1531" w:header="851" w:footer="992" w:gutter="0"/>
          <w:pgNumType w:fmt="numberInDash"/>
          <w:cols w:space="0" w:num="1"/>
          <w:rtlGutter w:val="0"/>
          <w:docGrid w:type="lines" w:linePitch="327" w:charSpace="0"/>
        </w:sect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遮阳棚参数及控制价</w:t>
      </w:r>
    </w:p>
    <w:p>
      <w:pPr>
        <w:pStyle w:val="2"/>
        <w:rPr>
          <w:rFonts w:hint="eastAsia"/>
          <w:lang w:val="en-US" w:eastAsia="zh-CN"/>
        </w:rPr>
      </w:pPr>
    </w:p>
    <w:p>
      <w:pPr>
        <w:pStyle w:val="2"/>
        <w:rPr>
          <w:rFonts w:hint="default"/>
          <w:lang w:val="en-US" w:eastAsia="zh-CN"/>
        </w:rPr>
      </w:pPr>
    </w:p>
    <w:tbl>
      <w:tblPr>
        <w:tblStyle w:val="10"/>
        <w:tblpPr w:leftFromText="180" w:rightFromText="180" w:vertAnchor="text" w:horzAnchor="page" w:tblpX="1840" w:tblpY="99"/>
        <w:tblOverlap w:val="never"/>
        <w:tblW w:w="13015" w:type="dxa"/>
        <w:tblInd w:w="0" w:type="dxa"/>
        <w:shd w:val="clear" w:color="auto" w:fill="auto"/>
        <w:tblLayout w:type="fixed"/>
        <w:tblCellMar>
          <w:top w:w="0" w:type="dxa"/>
          <w:left w:w="0" w:type="dxa"/>
          <w:bottom w:w="0" w:type="dxa"/>
          <w:right w:w="0" w:type="dxa"/>
        </w:tblCellMar>
      </w:tblPr>
      <w:tblGrid>
        <w:gridCol w:w="500"/>
        <w:gridCol w:w="1482"/>
        <w:gridCol w:w="3050"/>
        <w:gridCol w:w="950"/>
        <w:gridCol w:w="1250"/>
        <w:gridCol w:w="1900"/>
        <w:gridCol w:w="1983"/>
        <w:gridCol w:w="1900"/>
      </w:tblGrid>
      <w:tr>
        <w:tblPrEx>
          <w:shd w:val="clear" w:color="auto" w:fill="auto"/>
          <w:tblCellMar>
            <w:top w:w="0" w:type="dxa"/>
            <w:left w:w="0" w:type="dxa"/>
            <w:bottom w:w="0" w:type="dxa"/>
            <w:right w:w="0" w:type="dxa"/>
          </w:tblCellMar>
        </w:tblPrEx>
        <w:trPr>
          <w:trHeight w:val="93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序号</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名称</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项目特征描述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单位</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计划数量</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最高限价</w:t>
            </w:r>
          </w:p>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单价（元）</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最高限价</w:t>
            </w:r>
          </w:p>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合价（元）</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备注</w:t>
            </w:r>
          </w:p>
        </w:tc>
      </w:tr>
      <w:tr>
        <w:tblPrEx>
          <w:shd w:val="clear" w:color="auto" w:fill="auto"/>
          <w:tblCellMar>
            <w:top w:w="0" w:type="dxa"/>
            <w:left w:w="0" w:type="dxa"/>
            <w:bottom w:w="0" w:type="dxa"/>
            <w:right w:w="0" w:type="dxa"/>
          </w:tblCellMar>
        </w:tblPrEx>
        <w:trPr>
          <w:trHeight w:val="184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color w:val="000000"/>
                <w:kern w:val="0"/>
                <w:sz w:val="28"/>
                <w:szCs w:val="28"/>
                <w:lang w:val="en-US" w:eastAsia="zh-CN"/>
              </w:rPr>
            </w:pPr>
            <w:r>
              <w:rPr>
                <w:rFonts w:hint="eastAsia" w:ascii="宋体" w:hAnsi="宋体" w:eastAsia="宋体" w:cs="宋体"/>
                <w:i w:val="0"/>
                <w:color w:val="000000"/>
                <w:kern w:val="0"/>
                <w:sz w:val="22"/>
                <w:szCs w:val="22"/>
                <w:u w:val="none"/>
                <w:lang w:val="en-US" w:eastAsia="zh-CN" w:bidi="ar"/>
              </w:rPr>
              <w:t>1</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2"/>
                <w:sz w:val="21"/>
                <w:szCs w:val="21"/>
                <w:u w:val="none"/>
                <w:lang w:val="en-US" w:eastAsia="zh-CN" w:bidi="ar-SA"/>
              </w:rPr>
              <w:t>遮阳棚</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default"/>
                <w:lang w:val="en-US" w:eastAsia="zh-CN"/>
              </w:rPr>
            </w:pPr>
            <w:r>
              <w:rPr>
                <w:rFonts w:hint="eastAsia"/>
                <w:lang w:val="en-US" w:eastAsia="zh-CN"/>
              </w:rPr>
              <w:t>定制成品遮阳停车棚，采用PVDF聚偏氟乙烯张拉膜，承重柱及梁采用钢结构，外观颜色为白色。遮阳棚立柱采用140*4mm镀锌钢管，斜撑76*3mm，张拉膜承重1100/平方米。</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color w:val="000000"/>
                <w:kern w:val="0"/>
                <w:sz w:val="24"/>
                <w:szCs w:val="24"/>
                <w:lang w:val="en-US" w:eastAsia="zh-CN"/>
              </w:rPr>
            </w:pPr>
            <w:r>
              <w:rPr>
                <w:rFonts w:hint="eastAsia" w:ascii="宋体" w:hAnsi="宋体" w:cs="宋体"/>
                <w:i w:val="0"/>
                <w:color w:val="000000"/>
                <w:kern w:val="0"/>
                <w:sz w:val="21"/>
                <w:szCs w:val="21"/>
                <w:u w:val="none"/>
                <w:lang w:val="en-US" w:eastAsia="zh-CN" w:bidi="ar"/>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100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850</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85000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tabs>
                <w:tab w:val="center" w:pos="935"/>
              </w:tabs>
              <w:jc w:val="left"/>
              <w:textAlignment w:val="center"/>
              <w:rPr>
                <w:rFonts w:hint="default" w:ascii="宋体" w:hAnsi="宋体" w:eastAsia="宋体" w:cs="宋体"/>
                <w:i w:val="0"/>
                <w:color w:val="000000"/>
                <w:kern w:val="2"/>
                <w:sz w:val="21"/>
                <w:szCs w:val="21"/>
                <w:u w:val="none"/>
                <w:lang w:val="en-US" w:eastAsia="zh-CN" w:bidi="ar-SA"/>
              </w:rPr>
            </w:pPr>
          </w:p>
        </w:tc>
      </w:tr>
      <w:tr>
        <w:tblPrEx>
          <w:shd w:val="clear" w:color="auto" w:fill="auto"/>
          <w:tblCellMar>
            <w:top w:w="0" w:type="dxa"/>
            <w:left w:w="0" w:type="dxa"/>
            <w:bottom w:w="0" w:type="dxa"/>
            <w:right w:w="0" w:type="dxa"/>
          </w:tblCellMar>
        </w:tblPrEx>
        <w:trPr>
          <w:trHeight w:val="893"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2"/>
                <w:sz w:val="21"/>
                <w:szCs w:val="21"/>
                <w:u w:val="none"/>
                <w:lang w:val="en-US" w:eastAsia="zh-CN" w:bidi="ar-SA"/>
              </w:rPr>
              <w:t>基础破损</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lang w:val="en-US" w:eastAsia="zh-CN"/>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200</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1200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tabs>
                <w:tab w:val="center" w:pos="935"/>
              </w:tabs>
              <w:jc w:val="left"/>
              <w:textAlignment w:val="center"/>
              <w:rPr>
                <w:rFonts w:hint="eastAsia" w:ascii="宋体" w:hAnsi="宋体" w:cs="宋体"/>
                <w:i w:val="0"/>
                <w:color w:val="000000"/>
                <w:kern w:val="2"/>
                <w:sz w:val="21"/>
                <w:szCs w:val="21"/>
                <w:u w:val="none"/>
                <w:lang w:val="en-US" w:eastAsia="zh-CN" w:bidi="ar-SA"/>
              </w:rPr>
            </w:pPr>
          </w:p>
        </w:tc>
      </w:tr>
      <w:tr>
        <w:tblPrEx>
          <w:shd w:val="clear" w:color="auto" w:fill="auto"/>
          <w:tblCellMar>
            <w:top w:w="0" w:type="dxa"/>
            <w:left w:w="0" w:type="dxa"/>
            <w:bottom w:w="0" w:type="dxa"/>
            <w:right w:w="0" w:type="dxa"/>
          </w:tblCellMar>
        </w:tblPrEx>
        <w:trPr>
          <w:trHeight w:val="184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2"/>
                <w:sz w:val="21"/>
                <w:szCs w:val="21"/>
                <w:u w:val="none"/>
                <w:lang w:val="en-US" w:eastAsia="zh-CN" w:bidi="ar-SA"/>
              </w:rPr>
              <w:t>植格草恢复</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lang w:val="en-US" w:eastAsia="zh-CN"/>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50</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300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tabs>
                <w:tab w:val="center" w:pos="935"/>
              </w:tabs>
              <w:jc w:val="left"/>
              <w:textAlignment w:val="center"/>
              <w:rPr>
                <w:rFonts w:hint="eastAsia" w:ascii="宋体" w:hAnsi="宋体" w:cs="宋体"/>
                <w:i w:val="0"/>
                <w:color w:val="000000"/>
                <w:kern w:val="2"/>
                <w:sz w:val="21"/>
                <w:szCs w:val="21"/>
                <w:u w:val="none"/>
                <w:lang w:val="en-US" w:eastAsia="zh-CN" w:bidi="ar-SA"/>
              </w:rPr>
            </w:pPr>
          </w:p>
        </w:tc>
      </w:tr>
      <w:tr>
        <w:tblPrEx>
          <w:tblCellMar>
            <w:top w:w="0" w:type="dxa"/>
            <w:left w:w="0" w:type="dxa"/>
            <w:bottom w:w="0" w:type="dxa"/>
            <w:right w:w="0" w:type="dxa"/>
          </w:tblCellMar>
        </w:tblPrEx>
        <w:trPr>
          <w:trHeight w:val="762" w:hRule="atLeast"/>
        </w:trPr>
        <w:tc>
          <w:tcPr>
            <w:tcW w:w="13015" w:type="dxa"/>
            <w:gridSpan w:val="8"/>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color w:val="000000"/>
                <w:kern w:val="0"/>
                <w:sz w:val="28"/>
                <w:szCs w:val="28"/>
                <w:lang w:val="en-US" w:eastAsia="zh-CN"/>
              </w:rPr>
              <w:t>合计：86500元（捌万陆仟伍佰元整）</w:t>
            </w:r>
          </w:p>
        </w:tc>
      </w:tr>
    </w:tbl>
    <w:p>
      <w:pPr>
        <w:rPr>
          <w:rFonts w:hint="eastAsia" w:ascii="仿宋_GB2312" w:eastAsia="仿宋_GB2312" w:cs="仿宋_GB2312" w:hAnsiTheme="minorEastAsia"/>
          <w:sz w:val="32"/>
          <w:szCs w:val="32"/>
        </w:rPr>
        <w:sectPr>
          <w:pgSz w:w="16838" w:h="11906" w:orient="landscape"/>
          <w:pgMar w:top="1531" w:right="2268" w:bottom="1531" w:left="2268" w:header="851" w:footer="992" w:gutter="0"/>
          <w:pgNumType w:fmt="numberInDash"/>
          <w:cols w:space="0" w:num="1"/>
          <w:rtlGutter w:val="0"/>
          <w:docGrid w:type="lines" w:linePitch="327" w:charSpace="0"/>
        </w:sectPr>
      </w:pPr>
    </w:p>
    <w:p>
      <w:pPr>
        <w:rPr>
          <w:rFonts w:ascii="仿宋_GB2312" w:eastAsia="仿宋_GB2312"/>
          <w:b/>
          <w:bCs/>
          <w:sz w:val="36"/>
          <w:szCs w:val="36"/>
        </w:rPr>
      </w:pPr>
      <w:r>
        <w:rPr>
          <w:rFonts w:hint="eastAsia" w:ascii="仿宋_GB2312" w:hAnsi="仿宋_GB2312" w:eastAsia="仿宋_GB2312" w:cs="仿宋_GB2312"/>
          <w:sz w:val="32"/>
          <w:szCs w:val="32"/>
        </w:rPr>
        <w:t>附件2</w:t>
      </w:r>
    </w:p>
    <w:p>
      <w:pPr>
        <w:pStyle w:val="4"/>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身份证明</w:t>
      </w:r>
    </w:p>
    <w:p>
      <w:pPr>
        <w:pStyle w:val="4"/>
        <w:jc w:val="center"/>
        <w:rPr>
          <w:rFonts w:hint="eastAsia"/>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highlight w:val="none"/>
        </w:rPr>
        <w:t>法定代表人/负责人参与</w:t>
      </w:r>
      <w:r>
        <w:rPr>
          <w:rFonts w:hint="eastAsia" w:ascii="仿宋" w:hAnsi="仿宋" w:eastAsia="仿宋" w:cs="仿宋"/>
          <w:b w:val="0"/>
          <w:bCs w:val="0"/>
          <w:color w:val="auto"/>
          <w:highlight w:val="none"/>
          <w:lang w:val="en-US" w:eastAsia="zh-CN"/>
        </w:rPr>
        <w:t>谈判</w:t>
      </w:r>
      <w:r>
        <w:rPr>
          <w:rFonts w:hint="eastAsia" w:ascii="仿宋" w:hAnsi="仿宋" w:eastAsia="仿宋" w:cs="仿宋"/>
          <w:b w:val="0"/>
          <w:bCs w:val="0"/>
          <w:color w:val="auto"/>
          <w:highlight w:val="none"/>
        </w:rPr>
        <w:t>的适用）</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投标人名称：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附：法定代表人/负责人身份证复印件（正反面加盖公章鲜章）</w:t>
      </w:r>
    </w:p>
    <w:p>
      <w:pPr>
        <w:pStyle w:val="2"/>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jc w:val="center"/>
        <w:rPr>
          <w:rFonts w:ascii="仿宋_GB2312" w:eastAsia="仿宋_GB2312" w:hAnsiTheme="minorEastAsia"/>
          <w:sz w:val="28"/>
          <w:szCs w:val="28"/>
        </w:rPr>
      </w:pPr>
    </w:p>
    <w:p>
      <w:pPr>
        <w:widowControl/>
        <w:jc w:val="left"/>
        <w:rPr>
          <w:rFonts w:ascii="仿宋_GB2312" w:eastAsia="仿宋_GB2312" w:cs="仿宋_GB2312" w:hAnsiTheme="minorEastAsia"/>
          <w:sz w:val="32"/>
          <w:szCs w:val="32"/>
        </w:rPr>
      </w:pPr>
    </w:p>
    <w:p>
      <w:pPr>
        <w:spacing w:line="560" w:lineRule="exact"/>
        <w:rPr>
          <w:sz w:val="28"/>
          <w:szCs w:val="28"/>
        </w:rPr>
      </w:pPr>
      <w:r>
        <w:rPr>
          <w:rFonts w:hint="eastAsia" w:ascii="仿宋_GB2312" w:hAnsi="宋体" w:eastAsia="仿宋_GB2312"/>
          <w:sz w:val="32"/>
          <w:szCs w:val="32"/>
        </w:rPr>
        <w:t>附件3</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授权委托书</w:t>
      </w:r>
    </w:p>
    <w:p>
      <w:pPr>
        <w:jc w:val="center"/>
        <w:rPr>
          <w:rFonts w:hint="eastAsia" w:ascii="仿宋_GB2312" w:hAnsi="宋体" w:eastAsia="仿宋_GB2312"/>
          <w:sz w:val="32"/>
          <w:szCs w:val="32"/>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kern w:val="2"/>
          <w:sz w:val="32"/>
          <w:szCs w:val="32"/>
          <w:highlight w:val="none"/>
          <w:lang w:val="en-US" w:eastAsia="zh-CN" w:bidi="ar-SA"/>
        </w:rPr>
        <w:t>法定代表人/负责人委托代理人参与谈判的适用）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（投标人名称）的法定代表人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2"/>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w:t>
      </w:r>
    </w:p>
    <w:p>
      <w:pPr>
        <w:numPr>
          <w:ilvl w:val="0"/>
          <w:numId w:val="1"/>
        </w:numPr>
        <w:spacing w:line="560" w:lineRule="exact"/>
        <w:ind w:firstLine="1120" w:firstLineChars="400"/>
        <w:jc w:val="left"/>
        <w:rPr>
          <w:rFonts w:hint="eastAsia" w:ascii="仿宋_GB2312" w:hAnsi="宋体" w:eastAsia="仿宋_GB2312"/>
          <w:sz w:val="28"/>
          <w:szCs w:val="28"/>
          <w:lang w:val="en-US" w:eastAsia="zh-CN"/>
        </w:rPr>
      </w:pP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p>
    <w:p>
      <w:pPr>
        <w:pStyle w:val="2"/>
        <w:numPr>
          <w:ilvl w:val="0"/>
          <w:numId w:val="0"/>
        </w:numPr>
        <w:rPr>
          <w:rFonts w:hint="default" w:ascii="仿宋_GB2312" w:hAnsi="宋体" w:eastAsia="仿宋_GB2312" w:cs="黑体"/>
          <w:kern w:val="2"/>
          <w:sz w:val="32"/>
          <w:szCs w:val="32"/>
          <w:highlight w:val="none"/>
          <w:lang w:val="en-US" w:eastAsia="zh-CN" w:bidi="ar-SA"/>
        </w:rPr>
      </w:pPr>
      <w:r>
        <w:rPr>
          <w:rFonts w:hint="eastAsia"/>
          <w:sz w:val="28"/>
          <w:szCs w:val="28"/>
          <w:lang w:val="en-US" w:eastAsia="zh-CN"/>
        </w:rPr>
        <w:t xml:space="preserve">        </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hint="eastAsia" w:ascii="仿宋_GB2312" w:eastAsia="仿宋_GB2312" w:cs="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360" w:lineRule="auto"/>
        <w:rPr>
          <w:rFonts w:hint="eastAsia" w:ascii="仿宋_GB2312" w:eastAsia="仿宋_GB2312" w:cs="仿宋_GB2312" w:hAnsiTheme="minorEastAsia"/>
          <w:sz w:val="32"/>
          <w:szCs w:val="32"/>
          <w:lang w:val="en-US" w:eastAsia="zh-CN"/>
        </w:rPr>
      </w:pP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pStyle w:val="2"/>
        <w:rPr>
          <w:rFonts w:hint="eastAsia"/>
        </w:rPr>
      </w:pPr>
    </w:p>
    <w:p>
      <w:pPr>
        <w:spacing w:line="520" w:lineRule="exact"/>
        <w:jc w:val="center"/>
        <w:rPr>
          <w:rFonts w:ascii="仿宋_GB2312" w:eastAsia="仿宋_GB2312" w:hAnsiTheme="minorEastAsia"/>
          <w:b/>
          <w:bCs/>
          <w:sz w:val="36"/>
          <w:szCs w:val="36"/>
        </w:rPr>
      </w:pPr>
      <w:r>
        <w:rPr>
          <w:rFonts w:hint="eastAsia" w:ascii="仿宋_GB2312" w:eastAsia="仿宋_GB2312" w:hAnsiTheme="minorEastAsia"/>
          <w:b/>
          <w:bCs/>
          <w:sz w:val="36"/>
          <w:szCs w:val="36"/>
          <w:lang w:val="en-US" w:eastAsia="zh-CN"/>
        </w:rPr>
        <w:t>大数据产业园非机动车停车位项目建设配套设施（遮阳棚）采购</w:t>
      </w:r>
      <w:r>
        <w:rPr>
          <w:rFonts w:hint="eastAsia" w:ascii="仿宋_GB2312" w:eastAsia="仿宋_GB2312" w:hAnsiTheme="minorEastAsia"/>
          <w:b/>
          <w:bCs/>
          <w:sz w:val="36"/>
          <w:szCs w:val="36"/>
        </w:rPr>
        <w:t>报价表</w:t>
      </w:r>
    </w:p>
    <w:tbl>
      <w:tblPr>
        <w:tblStyle w:val="10"/>
        <w:tblW w:w="9930" w:type="dxa"/>
        <w:tblInd w:w="-318" w:type="dxa"/>
        <w:tblLayout w:type="fixed"/>
        <w:tblCellMar>
          <w:top w:w="0" w:type="dxa"/>
          <w:left w:w="108" w:type="dxa"/>
          <w:bottom w:w="0" w:type="dxa"/>
          <w:right w:w="108" w:type="dxa"/>
        </w:tblCellMar>
      </w:tblPr>
      <w:tblGrid>
        <w:gridCol w:w="1544"/>
        <w:gridCol w:w="1824"/>
        <w:gridCol w:w="948"/>
        <w:gridCol w:w="1191"/>
        <w:gridCol w:w="1105"/>
        <w:gridCol w:w="1105"/>
        <w:gridCol w:w="1108"/>
        <w:gridCol w:w="1105"/>
      </w:tblGrid>
      <w:tr>
        <w:tblPrEx>
          <w:tblCellMar>
            <w:top w:w="0" w:type="dxa"/>
            <w:left w:w="108" w:type="dxa"/>
            <w:bottom w:w="0" w:type="dxa"/>
            <w:right w:w="108" w:type="dxa"/>
          </w:tblCellMar>
        </w:tblPrEx>
        <w:trPr>
          <w:trHeight w:val="935" w:hRule="atLeast"/>
        </w:trPr>
        <w:tc>
          <w:tcPr>
            <w:tcW w:w="154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名称</w:t>
            </w:r>
          </w:p>
        </w:tc>
        <w:tc>
          <w:tcPr>
            <w:tcW w:w="1824"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规格型号</w:t>
            </w:r>
          </w:p>
        </w:tc>
        <w:tc>
          <w:tcPr>
            <w:tcW w:w="948"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91" w:type="dxa"/>
            <w:vMerge w:val="restart"/>
            <w:tcBorders>
              <w:top w:val="single" w:color="auto" w:sz="4" w:space="0"/>
              <w:left w:val="nil"/>
              <w:right w:val="single" w:color="auto" w:sz="4" w:space="0"/>
            </w:tcBorders>
            <w:shd w:val="clear" w:color="auto" w:fill="auto"/>
            <w:noWrap/>
            <w:vAlign w:val="center"/>
          </w:tcPr>
          <w:p>
            <w:pPr>
              <w:widowControl/>
              <w:jc w:val="center"/>
              <w:rPr>
                <w:rFonts w:hint="default" w:ascii="仿宋_GB2312" w:hAnsi="微软雅黑" w:eastAsia="仿宋_GB2312" w:cs="宋体"/>
                <w:color w:val="000000"/>
                <w:kern w:val="0"/>
                <w:sz w:val="24"/>
                <w:szCs w:val="24"/>
                <w:lang w:val="en-US" w:eastAsia="zh-CN"/>
              </w:rPr>
            </w:pPr>
            <w:r>
              <w:rPr>
                <w:rFonts w:hint="eastAsia" w:ascii="仿宋_GB2312" w:hAnsi="微软雅黑" w:eastAsia="仿宋_GB2312" w:cs="宋体"/>
                <w:color w:val="000000"/>
                <w:kern w:val="0"/>
                <w:sz w:val="24"/>
                <w:szCs w:val="24"/>
              </w:rPr>
              <w:t>数量</w:t>
            </w:r>
          </w:p>
        </w:tc>
        <w:tc>
          <w:tcPr>
            <w:tcW w:w="1105" w:type="dxa"/>
            <w:vMerge w:val="restart"/>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增值税税率</w:t>
            </w:r>
          </w:p>
        </w:tc>
        <w:tc>
          <w:tcPr>
            <w:tcW w:w="2213"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价税合计（元）</w:t>
            </w:r>
          </w:p>
        </w:tc>
        <w:tc>
          <w:tcPr>
            <w:tcW w:w="1105" w:type="dxa"/>
            <w:vMerge w:val="restart"/>
            <w:tcBorders>
              <w:top w:val="single" w:color="auto" w:sz="4" w:space="0"/>
              <w:left w:val="single" w:color="auto" w:sz="4" w:space="0"/>
              <w:right w:val="single" w:color="auto" w:sz="4" w:space="0"/>
            </w:tcBorders>
            <w:vAlign w:val="center"/>
          </w:tcPr>
          <w:p>
            <w:pPr>
              <w:spacing w:line="520" w:lineRule="exact"/>
              <w:jc w:val="center"/>
              <w:rPr>
                <w:rFonts w:hint="eastAsia" w:ascii="仿宋_GB2312" w:eastAsia="仿宋_GB2312" w:cs="宋体" w:hAnsiTheme="minorEastAsia"/>
                <w:color w:val="000000"/>
                <w:kern w:val="0"/>
                <w:sz w:val="24"/>
                <w:szCs w:val="24"/>
                <w:lang w:eastAsia="zh-CN"/>
              </w:rPr>
            </w:pPr>
            <w:r>
              <w:rPr>
                <w:rFonts w:hint="eastAsia" w:ascii="仿宋_GB2312" w:eastAsia="仿宋_GB2312" w:cs="宋体" w:hAnsiTheme="minorEastAsia"/>
                <w:color w:val="000000"/>
                <w:kern w:val="0"/>
                <w:sz w:val="24"/>
                <w:szCs w:val="24"/>
                <w:lang w:val="en-US" w:eastAsia="zh-CN"/>
              </w:rPr>
              <w:t>品牌</w:t>
            </w:r>
          </w:p>
        </w:tc>
      </w:tr>
      <w:tr>
        <w:tblPrEx>
          <w:tblCellMar>
            <w:top w:w="0" w:type="dxa"/>
            <w:left w:w="108" w:type="dxa"/>
            <w:bottom w:w="0" w:type="dxa"/>
            <w:right w:w="108" w:type="dxa"/>
          </w:tblCellMar>
        </w:tblPrEx>
        <w:trPr>
          <w:trHeight w:val="933" w:hRule="atLeast"/>
        </w:trPr>
        <w:tc>
          <w:tcPr>
            <w:tcW w:w="1544"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824"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94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91"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05" w:type="dxa"/>
            <w:vMerge w:val="continue"/>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0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05" w:type="dxa"/>
            <w:vMerge w:val="continue"/>
            <w:tcBorders>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1561" w:hRule="atLeast"/>
        </w:trPr>
        <w:tc>
          <w:tcPr>
            <w:tcW w:w="15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824"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948" w:type="dxa"/>
            <w:tcBorders>
              <w:top w:val="single" w:color="auto" w:sz="4" w:space="0"/>
              <w:left w:val="nil"/>
              <w:bottom w:val="single" w:color="auto" w:sz="4" w:space="0"/>
              <w:right w:val="single" w:color="auto" w:sz="4" w:space="0"/>
            </w:tcBorders>
            <w:shd w:val="clear" w:color="auto" w:fill="auto"/>
            <w:vAlign w:val="center"/>
          </w:tcPr>
          <w:p>
            <w:pPr>
              <w:jc w:val="center"/>
              <w:rPr>
                <w:rFonts w:hint="default" w:ascii="宋体" w:hAnsi="宋体" w:eastAsia="宋体" w:cs="宋体"/>
                <w:color w:val="000000"/>
                <w:sz w:val="22"/>
                <w:lang w:val="en-US" w:eastAsia="zh-CN"/>
              </w:rPr>
            </w:pPr>
          </w:p>
        </w:tc>
        <w:tc>
          <w:tcPr>
            <w:tcW w:w="119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2"/>
                <w:lang w:val="en-US" w:eastAsia="zh-CN"/>
              </w:rPr>
            </w:pP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1561" w:hRule="atLeast"/>
        </w:trPr>
        <w:tc>
          <w:tcPr>
            <w:tcW w:w="15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824"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94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91"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852" w:hRule="atLeast"/>
        </w:trPr>
        <w:tc>
          <w:tcPr>
            <w:tcW w:w="882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sz w:val="24"/>
                <w:szCs w:val="24"/>
              </w:rPr>
            </w:pPr>
            <w:r>
              <w:rPr>
                <w:rFonts w:hint="eastAsia"/>
                <w:sz w:val="24"/>
                <w:szCs w:val="24"/>
              </w:rPr>
              <w:t>合计金额（小写）：</w:t>
            </w:r>
          </w:p>
          <w:p>
            <w:pPr>
              <w:rPr>
                <w:sz w:val="24"/>
                <w:szCs w:val="24"/>
              </w:rPr>
            </w:pPr>
            <w:r>
              <w:rPr>
                <w:rFonts w:hint="eastAsia"/>
                <w:sz w:val="24"/>
                <w:szCs w:val="24"/>
              </w:rPr>
              <w:t>合计金额（大写）：</w:t>
            </w: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r>
    </w:tbl>
    <w:p>
      <w:pPr>
        <w:spacing w:line="400" w:lineRule="exact"/>
        <w:rPr>
          <w:rFonts w:hint="default" w:ascii="仿宋_GB2312" w:eastAsia="仿宋_GB2312" w:cs="仿宋_GB2312" w:hAnsiTheme="minorEastAsia"/>
          <w:sz w:val="28"/>
          <w:szCs w:val="28"/>
          <w:lang w:val="en-US" w:eastAsia="zh-CN"/>
        </w:rPr>
      </w:pPr>
    </w:p>
    <w:p>
      <w:pPr>
        <w:spacing w:line="400" w:lineRule="exact"/>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 xml:space="preserve">注：1、报价应含但不限于材料、安装、运输、税金和保险等综合费用,详见清单     </w:t>
      </w:r>
    </w:p>
    <w:p>
      <w:pPr>
        <w:spacing w:line="400" w:lineRule="exact"/>
        <w:ind w:firstLine="560" w:firstLineChars="200"/>
        <w:rPr>
          <w:rFonts w:ascii="仿宋_GB2312" w:hAnsi="宋体" w:eastAsia="仿宋_GB2312" w:cs="宋体"/>
          <w:sz w:val="32"/>
          <w:szCs w:val="32"/>
        </w:rPr>
      </w:pPr>
      <w:r>
        <w:rPr>
          <w:rFonts w:hint="eastAsia" w:ascii="仿宋_GB2312" w:eastAsia="仿宋_GB2312" w:cs="仿宋_GB2312" w:hAnsiTheme="minorEastAsia"/>
          <w:sz w:val="28"/>
          <w:szCs w:val="28"/>
        </w:rPr>
        <w:t>2.可根据需要扩展本表，每页均需加盖公章。</w:t>
      </w:r>
    </w:p>
    <w:p>
      <w:pPr>
        <w:spacing w:line="360" w:lineRule="auto"/>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rPr>
          <w:rFonts w:hint="eastAsia" w:ascii="仿宋_GB2312" w:eastAsia="仿宋_GB2312" w:hAnsiTheme="minorEastAsia"/>
        </w:rPr>
      </w:pPr>
    </w:p>
    <w:p>
      <w:pPr>
        <w:rPr>
          <w:rFonts w:hint="eastAsia" w:ascii="仿宋_GB2312" w:eastAsia="仿宋_GB2312" w:cs="仿宋_GB2312" w:hAnsiTheme="minorEastAsia"/>
          <w:sz w:val="32"/>
          <w:szCs w:val="32"/>
          <w:lang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8"/>
        <w:spacing w:before="0" w:beforeAutospacing="0" w:after="0" w:afterAutospacing="0" w:line="600" w:lineRule="auto"/>
        <w:rPr>
          <w:rFonts w:ascii="仿宋" w:hAnsi="仿宋" w:eastAsia="仿宋"/>
          <w:kern w:val="2"/>
          <w:sz w:val="24"/>
          <w:szCs w:val="24"/>
        </w:rPr>
      </w:pPr>
      <w:r>
        <w:rPr>
          <w:rFonts w:hint="eastAsia" w:ascii="仿宋" w:hAnsi="仿宋" w:eastAsia="仿宋"/>
          <w:kern w:val="2"/>
          <w:sz w:val="24"/>
          <w:szCs w:val="24"/>
          <w:u w:val="single"/>
          <w:lang w:val="en-US" w:eastAsia="zh-CN"/>
        </w:rPr>
        <w:t xml:space="preserve">                             </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（一）具有良好的商业信誉和健全的财务会计制度；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（三）参加本次采购活动前三年内，在经营活动中没有重大违法记录；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（六）根据本项目提出的特定资格条件。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jc w:val="both"/>
        <w:rPr>
          <w:rFonts w:hint="eastAsia" w:ascii="仿宋_GB2312" w:eastAsia="仿宋_GB2312" w:hAnsiTheme="minorEastAsia"/>
        </w:rPr>
      </w:pPr>
    </w:p>
    <w:p>
      <w:pPr>
        <w:pStyle w:val="2"/>
        <w:rPr>
          <w:rFonts w:hint="eastAsia"/>
        </w:rPr>
      </w:pPr>
    </w:p>
    <w:p>
      <w:pPr>
        <w:rPr>
          <w:rFonts w:hint="eastAsia" w:ascii="仿宋_GB2312" w:eastAsia="仿宋_GB2312" w:hAnsiTheme="minorEastAsia"/>
          <w:lang w:val="en-US" w:eastAsia="zh-CN"/>
        </w:rPr>
      </w:pPr>
    </w:p>
    <w:p>
      <w:pPr>
        <w:widowControl/>
        <w:rPr>
          <w:rFonts w:hint="default" w:ascii="仿宋_GB2312" w:eastAsia="仿宋_GB2312" w:hAnsiTheme="minorEastAsia"/>
          <w:sz w:val="30"/>
          <w:szCs w:val="30"/>
          <w:lang w:val="en-US" w:eastAsia="zh-CN"/>
        </w:rPr>
      </w:pPr>
      <w:r>
        <w:rPr>
          <w:rFonts w:hint="eastAsia" w:ascii="仿宋_GB2312" w:eastAsia="仿宋_GB2312" w:hAnsiTheme="minorEastAsia"/>
          <w:sz w:val="30"/>
          <w:szCs w:val="30"/>
        </w:rPr>
        <w:t>附件</w:t>
      </w:r>
      <w:r>
        <w:rPr>
          <w:rFonts w:hint="eastAsia" w:ascii="仿宋_GB2312" w:eastAsia="仿宋_GB2312" w:hAnsiTheme="minorEastAsia"/>
          <w:sz w:val="30"/>
          <w:szCs w:val="30"/>
          <w:lang w:val="en-US" w:eastAsia="zh-CN"/>
        </w:rPr>
        <w:t>5</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2"/>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附件6</w:t>
      </w:r>
    </w:p>
    <w:p>
      <w:pPr>
        <w:ind w:firstLine="5670" w:firstLineChars="2700"/>
        <w:rPr>
          <w:rFonts w:hint="eastAsia" w:ascii="宋体" w:hAnsi="宋体"/>
          <w:sz w:val="28"/>
          <w:szCs w:val="28"/>
        </w:rPr>
      </w:pPr>
      <w:r>
        <w:rPr>
          <w:rFonts w:hint="eastAsia" w:ascii="仿宋_GB2312" w:eastAsia="仿宋_GB2312" w:hAnsiTheme="minorEastAsia"/>
        </w:rPr>
        <w:t xml:space="preserve">        </w:t>
      </w:r>
      <w:r>
        <w:rPr>
          <w:rFonts w:hint="eastAsia" w:ascii="宋体" w:hAnsi="宋体"/>
          <w:sz w:val="28"/>
          <w:szCs w:val="28"/>
        </w:rPr>
        <w:t xml:space="preserve"> </w:t>
      </w:r>
    </w:p>
    <w:p>
      <w:pPr>
        <w:rPr>
          <w:rFonts w:hint="eastAsia" w:ascii="宋体" w:hAnsi="宋体"/>
          <w:sz w:val="24"/>
        </w:rPr>
      </w:pPr>
    </w:p>
    <w:p>
      <w:pPr>
        <w:ind w:firstLine="6480" w:firstLineChars="2700"/>
        <w:rPr>
          <w:rFonts w:hint="eastAsia" w:ascii="宋体" w:hAnsi="宋体"/>
          <w:sz w:val="24"/>
        </w:rPr>
      </w:pPr>
    </w:p>
    <w:p>
      <w:pPr>
        <w:jc w:val="left"/>
        <w:rPr>
          <w:rFonts w:hint="eastAsia" w:ascii="宋体" w:hAnsi="宋体"/>
          <w:sz w:val="24"/>
        </w:rPr>
      </w:pPr>
    </w:p>
    <w:p>
      <w:pPr>
        <w:ind w:firstLine="6480" w:firstLineChars="2700"/>
        <w:jc w:val="left"/>
        <w:rPr>
          <w:rFonts w:hint="eastAsia" w:ascii="宋体" w:hAnsi="宋体"/>
          <w:sz w:val="24"/>
        </w:rPr>
      </w:pPr>
    </w:p>
    <w:p>
      <w:pPr>
        <w:ind w:firstLine="6480" w:firstLineChars="2700"/>
        <w:jc w:val="left"/>
        <w:rPr>
          <w:rFonts w:hint="eastAsia" w:ascii="宋体" w:hAnsi="宋体"/>
          <w:sz w:val="24"/>
        </w:rPr>
      </w:pPr>
    </w:p>
    <w:p>
      <w:pPr>
        <w:ind w:firstLine="6480" w:firstLineChars="2700"/>
        <w:jc w:val="left"/>
        <w:rPr>
          <w:rFonts w:hint="eastAsia" w:ascii="宋体" w:hAnsi="宋体"/>
          <w:sz w:val="24"/>
        </w:rPr>
      </w:pPr>
    </w:p>
    <w:p>
      <w:pPr>
        <w:jc w:val="center"/>
        <w:rPr>
          <w:rFonts w:hint="default" w:ascii="宋体" w:hAnsi="宋体" w:eastAsia="宋体"/>
          <w:b/>
          <w:spacing w:val="40"/>
          <w:sz w:val="52"/>
          <w:szCs w:val="52"/>
          <w:lang w:val="en-US" w:eastAsia="zh-CN"/>
        </w:rPr>
      </w:pPr>
      <w:r>
        <w:rPr>
          <w:rFonts w:hint="eastAsia" w:ascii="宋体" w:hAnsi="宋体"/>
          <w:b/>
          <w:spacing w:val="40"/>
          <w:sz w:val="44"/>
          <w:szCs w:val="44"/>
        </w:rPr>
        <w:t>雅安经济开发区市政建筑工程有限公司</w:t>
      </w:r>
      <w:r>
        <w:rPr>
          <w:rFonts w:hint="eastAsia" w:ascii="宋体" w:hAnsi="宋体"/>
          <w:b/>
          <w:spacing w:val="40"/>
          <w:sz w:val="44"/>
          <w:szCs w:val="44"/>
          <w:lang w:val="en-US" w:eastAsia="zh-CN"/>
        </w:rPr>
        <w:t>***</w:t>
      </w:r>
      <w:r>
        <w:rPr>
          <w:rFonts w:hint="eastAsia" w:ascii="宋体" w:hAnsi="宋体"/>
          <w:b/>
          <w:spacing w:val="40"/>
          <w:sz w:val="44"/>
          <w:szCs w:val="44"/>
        </w:rPr>
        <w:t>合同</w:t>
      </w:r>
      <w:r>
        <w:rPr>
          <w:rFonts w:hint="eastAsia" w:ascii="宋体" w:hAnsi="宋体"/>
          <w:b/>
          <w:spacing w:val="40"/>
          <w:sz w:val="44"/>
          <w:szCs w:val="44"/>
          <w:lang w:eastAsia="zh-CN"/>
        </w:rPr>
        <w:t>（</w:t>
      </w:r>
      <w:r>
        <w:rPr>
          <w:rFonts w:hint="eastAsia" w:ascii="宋体" w:hAnsi="宋体"/>
          <w:b/>
          <w:spacing w:val="40"/>
          <w:sz w:val="44"/>
          <w:szCs w:val="44"/>
          <w:lang w:val="en-US" w:eastAsia="zh-CN"/>
        </w:rPr>
        <w:t>样例）</w:t>
      </w: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jc w:val="center"/>
        <w:rPr>
          <w:rFonts w:hint="eastAsia" w:ascii="宋体" w:hAnsi="宋体"/>
          <w:b/>
          <w:sz w:val="48"/>
          <w:szCs w:val="48"/>
        </w:rPr>
      </w:pPr>
    </w:p>
    <w:p>
      <w:pPr>
        <w:ind w:firstLine="1920" w:firstLineChars="600"/>
        <w:rPr>
          <w:rFonts w:hint="eastAsia" w:ascii="宋体" w:hAnsi="宋体"/>
          <w:b w:val="0"/>
          <w:bCs/>
          <w:sz w:val="32"/>
          <w:szCs w:val="32"/>
          <w:lang w:val="en-US" w:eastAsia="zh-CN"/>
        </w:rPr>
      </w:pPr>
      <w:r>
        <w:rPr>
          <w:rFonts w:hint="eastAsia" w:ascii="宋体" w:hAnsi="宋体"/>
          <w:b w:val="0"/>
          <w:bCs/>
          <w:sz w:val="32"/>
          <w:szCs w:val="32"/>
          <w:lang w:val="en-US" w:eastAsia="zh-CN"/>
        </w:rPr>
        <w:t>甲方：</w:t>
      </w:r>
    </w:p>
    <w:p>
      <w:pPr>
        <w:ind w:firstLine="1920" w:firstLineChars="600"/>
        <w:rPr>
          <w:rFonts w:hint="eastAsia" w:ascii="宋体" w:hAnsi="宋体"/>
          <w:b w:val="0"/>
          <w:bCs/>
          <w:sz w:val="32"/>
          <w:szCs w:val="32"/>
          <w:lang w:val="en-US" w:eastAsia="zh-CN"/>
        </w:rPr>
      </w:pPr>
      <w:r>
        <w:rPr>
          <w:rFonts w:hint="eastAsia" w:ascii="宋体" w:hAnsi="宋体"/>
          <w:b w:val="0"/>
          <w:bCs/>
          <w:sz w:val="32"/>
          <w:szCs w:val="32"/>
          <w:lang w:val="en-US" w:eastAsia="zh-CN"/>
        </w:rPr>
        <w:t>乙方：</w:t>
      </w:r>
    </w:p>
    <w:p>
      <w:pPr>
        <w:rPr>
          <w:rFonts w:hint="default" w:ascii="宋体" w:hAnsi="宋体"/>
          <w:b w:val="0"/>
          <w:bCs/>
          <w:sz w:val="32"/>
          <w:szCs w:val="32"/>
          <w:lang w:val="en-US" w:eastAsia="zh-CN"/>
        </w:rPr>
      </w:pPr>
    </w:p>
    <w:p>
      <w:pPr>
        <w:ind w:firstLine="6264" w:firstLineChars="1300"/>
        <w:rPr>
          <w:rFonts w:hint="eastAsia" w:ascii="宋体" w:hAnsi="宋体"/>
          <w:b/>
          <w:sz w:val="48"/>
          <w:szCs w:val="48"/>
        </w:rPr>
      </w:pPr>
    </w:p>
    <w:p>
      <w:pPr>
        <w:pStyle w:val="4"/>
        <w:spacing w:line="240" w:lineRule="auto"/>
        <w:jc w:val="center"/>
        <w:rPr>
          <w:rFonts w:hint="eastAsia" w:ascii="宋体" w:hAnsi="宋体"/>
          <w:sz w:val="30"/>
          <w:szCs w:val="30"/>
        </w:rPr>
      </w:pPr>
      <w:r>
        <w:rPr>
          <w:rFonts w:hint="eastAsia" w:ascii="宋体" w:hAnsi="宋体"/>
          <w:sz w:val="30"/>
          <w:szCs w:val="30"/>
          <w:lang w:val="en-US" w:eastAsia="zh-CN"/>
        </w:rPr>
        <w:t>2022</w:t>
      </w:r>
      <w:r>
        <w:rPr>
          <w:rFonts w:hint="eastAsia" w:ascii="宋体" w:hAnsi="宋体"/>
          <w:sz w:val="30"/>
          <w:szCs w:val="30"/>
        </w:rPr>
        <w:t>年</w:t>
      </w:r>
      <w:r>
        <w:rPr>
          <w:rFonts w:hint="eastAsia" w:ascii="宋体" w:hAnsi="宋体"/>
          <w:sz w:val="30"/>
          <w:szCs w:val="30"/>
          <w:lang w:val="en-US" w:eastAsia="zh-CN"/>
        </w:rPr>
        <w:t xml:space="preserve">   </w:t>
      </w:r>
      <w:r>
        <w:rPr>
          <w:rFonts w:hint="eastAsia" w:ascii="宋体" w:hAnsi="宋体"/>
          <w:sz w:val="30"/>
          <w:szCs w:val="30"/>
        </w:rPr>
        <w:t>月</w:t>
      </w:r>
      <w:r>
        <w:rPr>
          <w:rFonts w:hint="eastAsia" w:ascii="宋体" w:hAnsi="宋体"/>
          <w:sz w:val="30"/>
          <w:szCs w:val="30"/>
          <w:lang w:val="en-US" w:eastAsia="zh-CN"/>
        </w:rPr>
        <w:t xml:space="preserve">   </w:t>
      </w:r>
      <w:r>
        <w:rPr>
          <w:rFonts w:hint="eastAsia" w:ascii="宋体" w:hAnsi="宋体"/>
          <w:sz w:val="30"/>
          <w:szCs w:val="30"/>
        </w:rPr>
        <w:t>日 签订</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ascii="宋体" w:hAnsi="宋体"/>
          <w:sz w:val="30"/>
          <w:szCs w:val="30"/>
        </w:rPr>
        <w:br w:type="page"/>
      </w:r>
      <w:r>
        <w:rPr>
          <w:rFonts w:hint="eastAsia" w:ascii="宋体" w:hAnsi="宋体"/>
          <w:sz w:val="30"/>
          <w:szCs w:val="30"/>
          <w:lang w:val="en-US" w:eastAsia="zh-CN"/>
        </w:rPr>
        <w:t xml:space="preserve">       </w:t>
      </w:r>
    </w:p>
    <w:p>
      <w:pPr>
        <w:keepNext w:val="0"/>
        <w:keepLines w:val="0"/>
        <w:pageBreakBefore w:val="0"/>
        <w:kinsoku/>
        <w:wordWrap/>
        <w:overflowPunct/>
        <w:topLinePunct w:val="0"/>
        <w:autoSpaceDE/>
        <w:autoSpaceDN/>
        <w:bidi w:val="0"/>
        <w:adjustRightInd/>
        <w:snapToGrid/>
        <w:spacing w:before="20" w:line="576" w:lineRule="exact"/>
        <w:ind w:left="120" w:right="0" w:firstLine="1760" w:firstLineChars="400"/>
        <w:jc w:val="both"/>
        <w:textAlignment w:val="auto"/>
        <w:rPr>
          <w:rFonts w:hint="eastAsia" w:ascii="宋体" w:hAnsi="宋体" w:eastAsia="宋体" w:cs="Times New Roman"/>
          <w:color w:val="auto"/>
          <w:kern w:val="0"/>
          <w:sz w:val="44"/>
          <w:szCs w:val="44"/>
          <w:lang w:val="en-US" w:eastAsia="zh-CN" w:bidi="ar-SA"/>
        </w:rPr>
      </w:pPr>
      <w:r>
        <w:rPr>
          <w:rFonts w:hint="eastAsia" w:ascii="宋体" w:hAnsi="宋体" w:eastAsia="宋体" w:cs="Times New Roman"/>
          <w:color w:val="auto"/>
          <w:kern w:val="0"/>
          <w:sz w:val="44"/>
          <w:szCs w:val="44"/>
          <w:u w:val="single"/>
          <w:lang w:val="en-US" w:eastAsia="zh-CN" w:bidi="ar-SA"/>
        </w:rPr>
        <w:t xml:space="preserve">            </w:t>
      </w:r>
      <w:r>
        <w:rPr>
          <w:rFonts w:hint="eastAsia" w:ascii="宋体" w:hAnsi="宋体" w:eastAsia="宋体" w:cs="Times New Roman"/>
          <w:color w:val="auto"/>
          <w:kern w:val="0"/>
          <w:sz w:val="44"/>
          <w:szCs w:val="44"/>
          <w:lang w:val="en-US" w:eastAsia="zh-CN" w:bidi="ar-SA"/>
        </w:rPr>
        <w:t>合同</w:t>
      </w:r>
    </w:p>
    <w:p>
      <w:pPr>
        <w:pStyle w:val="2"/>
        <w:keepNext w:val="0"/>
        <w:keepLines w:val="0"/>
        <w:pageBreakBefore w:val="0"/>
        <w:kinsoku/>
        <w:wordWrap/>
        <w:overflowPunct/>
        <w:topLinePunct w:val="0"/>
        <w:autoSpaceDE/>
        <w:autoSpaceDN/>
        <w:bidi w:val="0"/>
        <w:adjustRightInd/>
        <w:snapToGrid/>
        <w:spacing w:before="1" w:line="576" w:lineRule="exact"/>
        <w:ind w:left="0" w:firstLine="560" w:firstLineChars="200"/>
        <w:textAlignment w:val="auto"/>
        <w:rPr>
          <w:rFonts w:hint="eastAsia" w:ascii="宋体" w:hAnsi="宋体" w:eastAsia="宋体" w:cs="Times New Roman"/>
          <w:color w:val="auto"/>
          <w:kern w:val="0"/>
          <w:sz w:val="28"/>
          <w:szCs w:val="28"/>
          <w:lang w:val="en-US" w:eastAsia="zh-CN" w:bidi="ar-SA"/>
        </w:rPr>
      </w:pP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采购方：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（以下简称甲方）</w:t>
      </w:r>
      <w:r>
        <w:rPr>
          <w:rFonts w:hint="eastAsia" w:ascii="宋体" w:hAnsi="宋体" w:eastAsia="宋体" w:cs="Times New Roman"/>
          <w:color w:val="auto"/>
          <w:kern w:val="0"/>
          <w:sz w:val="28"/>
          <w:szCs w:val="28"/>
          <w:lang w:val="en-US" w:eastAsia="zh-CN" w:bidi="ar-SA"/>
        </w:rPr>
        <w:t xml:space="preserve">                               </w:t>
      </w: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供应方：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（以下简称乙方）</w:t>
      </w:r>
      <w:r>
        <w:rPr>
          <w:rFonts w:hint="eastAsia" w:ascii="宋体" w:hAnsi="宋体" w:eastAsia="宋体" w:cs="Times New Roman"/>
          <w:color w:val="auto"/>
          <w:kern w:val="0"/>
          <w:sz w:val="28"/>
          <w:szCs w:val="28"/>
          <w:lang w:val="en-US" w:eastAsia="zh-CN" w:bidi="ar-SA"/>
        </w:rPr>
        <w:t xml:space="preserve">                              </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根据《中华人民共和国民法典》及有关法律、法规规定，甲、乙双方本着平等、自愿、公平、互惠互利和诚实守信的原则，就材料供销的有关事宜协商一致订立本合同，以便共同遵守：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一、材料种类、价格、数量：</w:t>
      </w:r>
    </w:p>
    <w:tbl>
      <w:tblPr>
        <w:tblStyle w:val="10"/>
        <w:tblW w:w="9225" w:type="dxa"/>
        <w:jc w:val="center"/>
        <w:tblLayout w:type="fixed"/>
        <w:tblCellMar>
          <w:top w:w="0" w:type="dxa"/>
          <w:left w:w="108" w:type="dxa"/>
          <w:bottom w:w="0" w:type="dxa"/>
          <w:right w:w="108" w:type="dxa"/>
        </w:tblCellMar>
      </w:tblPr>
      <w:tblGrid>
        <w:gridCol w:w="2187"/>
        <w:gridCol w:w="1087"/>
        <w:gridCol w:w="1500"/>
        <w:gridCol w:w="900"/>
        <w:gridCol w:w="1491"/>
        <w:gridCol w:w="2060"/>
      </w:tblGrid>
      <w:tr>
        <w:tblPrEx>
          <w:tblCellMar>
            <w:top w:w="0" w:type="dxa"/>
            <w:left w:w="108" w:type="dxa"/>
            <w:bottom w:w="0" w:type="dxa"/>
            <w:right w:w="108" w:type="dxa"/>
          </w:tblCellMar>
        </w:tblPrEx>
        <w:trPr>
          <w:trHeight w:val="750" w:hRule="atLeast"/>
          <w:jc w:val="center"/>
        </w:trPr>
        <w:tc>
          <w:tcPr>
            <w:tcW w:w="2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材料名称</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规格</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计划数量</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单位</w:t>
            </w: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含税单价（元）</w:t>
            </w:r>
          </w:p>
        </w:tc>
        <w:tc>
          <w:tcPr>
            <w:tcW w:w="20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合价（元）</w:t>
            </w:r>
          </w:p>
        </w:tc>
      </w:tr>
      <w:tr>
        <w:tblPrEx>
          <w:tblCellMar>
            <w:top w:w="0" w:type="dxa"/>
            <w:left w:w="108" w:type="dxa"/>
            <w:bottom w:w="0" w:type="dxa"/>
            <w:right w:w="108" w:type="dxa"/>
          </w:tblCellMar>
        </w:tblPrEx>
        <w:trPr>
          <w:trHeight w:val="703"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708"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bl>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本合同为固定单价合同，单价在合同履行期间不作变更，乙方承诺已充分考虑可能发生的市场变化、政策变化等因素。采购数量按实际发生量以双方签字认可的雅安市政公司结算清单为结算依据。付款时，乙方需向甲方开具发票：</w:t>
      </w:r>
      <w:r>
        <w:rPr>
          <w:rFonts w:hint="eastAsia" w:ascii="宋体" w:hAnsi="宋体"/>
          <w:color w:val="auto"/>
          <w:sz w:val="28"/>
          <w:szCs w:val="28"/>
          <w:lang w:val="en-US" w:eastAsia="zh-CN"/>
        </w:rPr>
        <w:t>增值税税率</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；不含税金额预估</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；发票类别</w:t>
      </w:r>
      <w:r>
        <w:rPr>
          <w:rFonts w:hint="eastAsia" w:ascii="宋体" w:hAnsi="宋体"/>
          <w:color w:val="auto"/>
          <w:sz w:val="28"/>
          <w:szCs w:val="28"/>
          <w:u w:val="single"/>
          <w:lang w:val="en-US" w:eastAsia="zh-CN"/>
        </w:rPr>
        <w:t xml:space="preserve">       （1）增值税专用发票，（2）增值税普通发票</w:t>
      </w:r>
      <w:r>
        <w:rPr>
          <w:rFonts w:hint="eastAsia" w:ascii="宋体" w:hAnsi="宋体"/>
          <w:color w:val="auto"/>
          <w:sz w:val="28"/>
          <w:szCs w:val="28"/>
          <w:u w:val="none"/>
          <w:lang w:val="en-US" w:eastAsia="zh-CN"/>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二、交货：</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1.交货时间：</w:t>
      </w:r>
      <w:r>
        <w:rPr>
          <w:rFonts w:hint="eastAsia" w:ascii="宋体" w:hAnsi="宋体" w:cs="Times New Roman"/>
          <w:color w:val="auto"/>
          <w:kern w:val="0"/>
          <w:sz w:val="28"/>
          <w:szCs w:val="28"/>
          <w:lang w:val="en-US" w:eastAsia="zh-CN" w:bidi="ar-SA"/>
        </w:rPr>
        <w:t>合同签订7个日历天</w:t>
      </w:r>
      <w:bookmarkStart w:id="11" w:name="_GoBack"/>
      <w:bookmarkEnd w:id="11"/>
      <w:r>
        <w:rPr>
          <w:rFonts w:hint="eastAsia" w:ascii="宋体" w:hAnsi="宋体" w:cs="Times New Roman"/>
          <w:color w:val="auto"/>
          <w:kern w:val="0"/>
          <w:sz w:val="28"/>
          <w:szCs w:val="28"/>
          <w:lang w:val="en-US" w:eastAsia="zh-CN" w:bidi="ar-SA"/>
        </w:rPr>
        <w:t>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2.交货地点：</w:t>
      </w:r>
      <w:r>
        <w:rPr>
          <w:rFonts w:hint="eastAsia" w:ascii="宋体" w:hAnsi="宋体" w:eastAsia="宋体" w:cs="Times New Roman"/>
          <w:color w:val="auto"/>
          <w:kern w:val="0"/>
          <w:sz w:val="28"/>
          <w:szCs w:val="28"/>
          <w:u w:val="single"/>
          <w:lang w:val="en-US" w:eastAsia="zh-CN" w:bidi="ar-SA"/>
        </w:rPr>
        <w:t>雅安市经济开区园区内</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3.运输及相关费用：乙方须选择安全的运输方式进行货物的运输</w:t>
      </w:r>
      <w:r>
        <w:rPr>
          <w:rFonts w:hint="eastAsia" w:ascii="宋体" w:hAnsi="宋体" w:eastAsia="宋体" w:cs="Times New Roman"/>
          <w:color w:val="auto"/>
          <w:kern w:val="0"/>
          <w:sz w:val="28"/>
          <w:szCs w:val="28"/>
          <w:lang w:val="en-US" w:eastAsia="zh-CN" w:bidi="ar-SA"/>
        </w:rPr>
        <w:tab/>
      </w:r>
      <w:r>
        <w:rPr>
          <w:rFonts w:hint="eastAsia" w:ascii="宋体" w:hAnsi="宋体" w:eastAsia="宋体" w:cs="Times New Roman"/>
          <w:color w:val="auto"/>
          <w:kern w:val="0"/>
          <w:sz w:val="28"/>
          <w:szCs w:val="28"/>
          <w:lang w:val="en-US" w:eastAsia="zh-CN" w:bidi="ar-SA"/>
        </w:rPr>
        <w:t>, 并且运输费用及保险费由乙方承担。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货物风险：合同项下的货物由乙方送至甲方指定的交货地点，且经甲方验收合格，并办理书面验收手续后，则甲方承担此后因甲方自身原因导致的该货物毁损、灭失的风险。但甲方的验收并不免除乙方材料货物质量不符合约定标准及该工程要求所应承担的责任；因乙方货物</w:t>
      </w:r>
      <w:r>
        <w:rPr>
          <w:rFonts w:hint="eastAsia" w:ascii="宋体" w:hAnsi="宋体" w:eastAsia="宋体" w:cs="Times New Roman"/>
          <w:color w:val="auto"/>
          <w:kern w:val="0"/>
          <w:sz w:val="28"/>
          <w:szCs w:val="28"/>
          <w:highlight w:val="none"/>
          <w:lang w:val="en-US" w:eastAsia="zh-CN" w:bidi="ar-SA"/>
        </w:rPr>
        <w:t>质量</w:t>
      </w:r>
      <w:r>
        <w:rPr>
          <w:rFonts w:hint="eastAsia" w:ascii="宋体" w:hAnsi="宋体" w:eastAsia="宋体" w:cs="Times New Roman"/>
          <w:color w:val="auto"/>
          <w:kern w:val="0"/>
          <w:sz w:val="28"/>
          <w:szCs w:val="28"/>
          <w:lang w:val="en-US" w:eastAsia="zh-CN" w:bidi="ar-SA"/>
        </w:rPr>
        <w:t>问题造成的所有损失由乙方承担，甲方有权要求乙方进行赔偿。</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5.甲方有权变更交货日期、交货批次、交货数量。甲方要求变更交货日期、次、数量的，应当提前通知乙方，乙方应按甲方通知交货，最终以签收材料作为供货情况依据。</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6.材料货物的工程安装：</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cs="Times New Roman"/>
          <w:color w:val="auto"/>
          <w:kern w:val="0"/>
          <w:sz w:val="28"/>
          <w:szCs w:val="28"/>
          <w:u w:val="single"/>
          <w:lang w:val="en-US" w:eastAsia="zh-CN" w:bidi="ar-SA"/>
        </w:rPr>
        <w:t>需安装</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7.材料货物的包装：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7.1材料货物所需包装物以及所产生的包装费由乙方供应及承担。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7.2材料货物必须由乙方妥善包装，适合运输、防潮、防湿，任何由于乙方包装不善而造成的损失由乙方负责。</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7.3包装标准：</w:t>
      </w:r>
      <w:r>
        <w:rPr>
          <w:rFonts w:hint="eastAsia" w:ascii="宋体" w:hAnsi="宋体" w:eastAsia="宋体" w:cs="Times New Roman"/>
          <w:color w:val="auto"/>
          <w:kern w:val="0"/>
          <w:sz w:val="28"/>
          <w:szCs w:val="28"/>
          <w:u w:val="single"/>
          <w:lang w:val="en-US" w:eastAsia="zh-CN" w:bidi="ar-SA"/>
        </w:rPr>
        <w:t>按国家标准执行</w:t>
      </w:r>
      <w:r>
        <w:rPr>
          <w:rFonts w:hint="eastAsia" w:ascii="宋体" w:hAnsi="宋体" w:eastAsia="宋体" w:cs="Times New Roman"/>
          <w:color w:val="auto"/>
          <w:kern w:val="0"/>
          <w:sz w:val="28"/>
          <w:szCs w:val="28"/>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三、质量要求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1.质量要求及技术标准：</w:t>
      </w:r>
      <w:r>
        <w:rPr>
          <w:rFonts w:hint="eastAsia" w:ascii="宋体" w:hAnsi="宋体" w:eastAsia="宋体" w:cs="Times New Roman"/>
          <w:color w:val="auto"/>
          <w:kern w:val="0"/>
          <w:sz w:val="28"/>
          <w:szCs w:val="28"/>
          <w:u w:val="single"/>
          <w:lang w:val="en-US" w:eastAsia="zh-CN" w:bidi="ar-SA"/>
        </w:rPr>
        <w:t xml:space="preserve"> 按国家强制性规范执行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2.乙方应保证其供应的材料货物均是全新的且完整无缺并有妥善包装保护，能免受因搬运、天气与其他情况引起的损坏，符合( 但不限于 ) 以上约定对于该类材料货物质量标准的规定；若该工程所在地或该工程本身对于该类材料货物有特别质量要求的，乙方也应符合此种要求。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3.质量保证：</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3.1本合同项下材料质保要求：</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cs="Times New Roman"/>
          <w:color w:val="auto"/>
          <w:kern w:val="0"/>
          <w:sz w:val="28"/>
          <w:szCs w:val="28"/>
          <w:u w:val="single"/>
          <w:lang w:val="en-US" w:eastAsia="zh-CN" w:bidi="ar-SA"/>
        </w:rPr>
        <w:t>提供免费维修</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3.2因乙方质量问题，甲方要求更换的，乙方应当在甲方要求之日起5日内更换质量合格的同类货物；更换后仍然有质量问题的或乙方逾期不更换的，甲方有权要求退货的，乙方应当在7日内退货，并退还全部相应款项，支付相应金额10%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3.3如果乙方没有本合同约定日期内按照甲方的要求进行处理，甲方有权雇佣他人对材料货物修复、纠正或改良，由此产生的费用甲方有权向乙方索赔或者在甲方应付给乙方的相应款项中扣除，并收取相应金额10%的违约金。甲方根据合同规定对乙方行使的其他权利不受影响，并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四、材料货物相关资料的提供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乙方在提交货物时须同时如实、按需提供甲方要求提供的货物资料和其他资料，若乙方未提供资料或未提供完整的资料，则对于乙方货物，甲方视为不合格产品，有权拒绝接收并拒绝付款，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五、甲方指定货物签收人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甲方指定的货物签收人：</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，联系电话：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r>
        <w:rPr>
          <w:rFonts w:hint="eastAsia" w:ascii="宋体" w:hAnsi="宋体" w:eastAsia="宋体" w:cs="Times New Roman"/>
          <w:color w:val="auto"/>
          <w:kern w:val="0"/>
          <w:sz w:val="28"/>
          <w:szCs w:val="28"/>
          <w:lang w:val="en-US" w:eastAsia="zh-CN" w:bidi="ar-SA"/>
        </w:rPr>
        <w:t>非以上甲方指定货物签收人对货物进行签收的，不能视为甲方接收货物。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六、验收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1.甲方实际收货的材料型号、数量、外在质量等应与本合同约定相符。若乙方供应的材料货物与本合同的约定不符，甲方有权拒绝接受此部分材料货物，由此产生的费用及货物风险由乙方负担。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2.甲方应及时组织验收，乙方将材料货物运送至甲方指定场地后</w:t>
      </w:r>
      <w:r>
        <w:rPr>
          <w:rFonts w:hint="eastAsia" w:ascii="宋体" w:hAnsi="宋体" w:eastAsia="宋体" w:cs="Times New Roman"/>
          <w:color w:val="auto"/>
          <w:kern w:val="0"/>
          <w:sz w:val="28"/>
          <w:szCs w:val="28"/>
          <w:u w:val="none"/>
          <w:lang w:val="en-US" w:eastAsia="zh-CN" w:bidi="ar-SA"/>
        </w:rPr>
        <w:t>甲方未组织验收，乙方有权书面通知甲方进行验收。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3.若甲方对货物提出异议，则乙方应在收到甲方书面异议后</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2 </w:t>
      </w:r>
      <w:r>
        <w:rPr>
          <w:rFonts w:hint="eastAsia" w:ascii="宋体" w:hAnsi="宋体" w:eastAsia="宋体" w:cs="Times New Roman"/>
          <w:color w:val="auto"/>
          <w:kern w:val="0"/>
          <w:sz w:val="28"/>
          <w:szCs w:val="28"/>
          <w:lang w:val="en-US" w:eastAsia="zh-CN" w:bidi="ar-SA"/>
        </w:rPr>
        <w:t>天内负责处理，若乙方不及时更换或仍然以隐瞒货物的质量问题，则甲方有权拒绝接受该批货物并拒付该批材料货物价款，并且由此造成甲方工期延误及其他一切损失均由乙方承担，且甲方对此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七、货款结算</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本合同第一条所列之材料货物的单价为包干价，包括材料设备运输至交货地点并通过甲方验收前乙方应支出的费用、成本以及质量保证期间的保修费用、利润等，包括但不限于生产成本、仓储费、利润、税收、运输费、保险费等。乙方在交货时多交的部分材料货物，如无法退还，则视为乙方给予甲方的优惠，乙方应自行承担因此造成的损失。</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2.货款支付： 乙方将材料送至甲方指定的地点并经甲方验收合格后办理结算，乙方按甲方要求提供全额</w:t>
      </w:r>
      <w:r>
        <w:rPr>
          <w:rFonts w:hint="eastAsia" w:ascii="宋体" w:hAnsi="宋体" w:eastAsia="宋体" w:cs="Times New Roman"/>
          <w:color w:val="auto"/>
          <w:kern w:val="0"/>
          <w:sz w:val="28"/>
          <w:szCs w:val="28"/>
          <w:u w:val="single"/>
          <w:lang w:val="en-US" w:eastAsia="zh-CN" w:bidi="ar-SA"/>
        </w:rPr>
        <w:t>增值税专用发票</w:t>
      </w:r>
      <w:r>
        <w:rPr>
          <w:rFonts w:hint="eastAsia" w:ascii="宋体" w:hAnsi="宋体" w:eastAsia="宋体" w:cs="Times New Roman"/>
          <w:color w:val="auto"/>
          <w:kern w:val="0"/>
          <w:sz w:val="28"/>
          <w:szCs w:val="28"/>
          <w:lang w:val="en-US" w:eastAsia="zh-CN" w:bidi="ar-SA"/>
        </w:rPr>
        <w:t>、双方一致同意的物资采购清单，经甲方审批后</w:t>
      </w:r>
      <w:r>
        <w:rPr>
          <w:rFonts w:hint="eastAsia" w:ascii="宋体" w:hAnsi="宋体" w:eastAsia="宋体" w:cs="Times New Roman"/>
          <w:color w:val="auto"/>
          <w:kern w:val="0"/>
          <w:sz w:val="28"/>
          <w:szCs w:val="28"/>
          <w:u w:val="single"/>
          <w:lang w:val="en-US" w:eastAsia="zh-CN" w:bidi="ar-SA"/>
        </w:rPr>
        <w:t>14个</w:t>
      </w:r>
      <w:r>
        <w:rPr>
          <w:rFonts w:hint="eastAsia" w:ascii="宋体" w:hAnsi="宋体" w:eastAsia="宋体" w:cs="Times New Roman"/>
          <w:color w:val="auto"/>
          <w:kern w:val="0"/>
          <w:sz w:val="28"/>
          <w:szCs w:val="28"/>
          <w:lang w:val="en-US" w:eastAsia="zh-CN" w:bidi="ar-SA"/>
        </w:rPr>
        <w:t>工作日内一次性将材料款</w:t>
      </w:r>
      <w:r>
        <w:rPr>
          <w:rFonts w:hint="eastAsia" w:ascii="宋体" w:hAnsi="宋体" w:eastAsia="宋体" w:cs="Times New Roman"/>
          <w:color w:val="auto"/>
          <w:kern w:val="0"/>
          <w:sz w:val="28"/>
          <w:szCs w:val="28"/>
          <w:highlight w:val="none"/>
          <w:lang w:val="en-US" w:eastAsia="zh-CN" w:bidi="ar-SA"/>
        </w:rPr>
        <w:t>扣除质量保证金后付给乙方，</w:t>
      </w:r>
      <w:r>
        <w:rPr>
          <w:rFonts w:hint="eastAsia" w:ascii="宋体" w:hAnsi="宋体" w:eastAsia="宋体" w:cs="Times New Roman"/>
          <w:color w:val="auto"/>
          <w:kern w:val="0"/>
          <w:sz w:val="28"/>
          <w:szCs w:val="28"/>
          <w:lang w:val="en-US" w:eastAsia="zh-CN" w:bidi="ar-SA"/>
        </w:rPr>
        <w:t>分批次供货的可分批次办理结算。</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w:t>
      </w:r>
      <w:r>
        <w:rPr>
          <w:rFonts w:hint="eastAsia" w:ascii="宋体" w:hAnsi="宋体" w:cs="Times New Roman"/>
          <w:color w:val="auto"/>
          <w:kern w:val="0"/>
          <w:sz w:val="28"/>
          <w:szCs w:val="28"/>
          <w:lang w:val="en-US" w:eastAsia="zh-CN" w:bidi="ar-SA"/>
        </w:rPr>
        <w:t>质保期1年，</w:t>
      </w:r>
      <w:r>
        <w:rPr>
          <w:rFonts w:hint="eastAsia" w:ascii="宋体" w:hAnsi="宋体" w:eastAsia="宋体" w:cs="Times New Roman"/>
          <w:color w:val="auto"/>
          <w:kern w:val="0"/>
          <w:sz w:val="28"/>
          <w:szCs w:val="28"/>
          <w:lang w:val="en-US" w:eastAsia="zh-CN" w:bidi="ar-SA"/>
        </w:rPr>
        <w:t>质量保证金扣除比例</w:t>
      </w:r>
      <w:r>
        <w:rPr>
          <w:rFonts w:hint="eastAsia" w:ascii="宋体" w:hAnsi="宋体" w:eastAsia="宋体" w:cs="Times New Roman"/>
          <w:color w:val="auto"/>
          <w:kern w:val="0"/>
          <w:sz w:val="28"/>
          <w:szCs w:val="28"/>
          <w:u w:val="single"/>
          <w:lang w:val="en-US" w:eastAsia="zh-CN" w:bidi="ar-SA"/>
        </w:rPr>
        <w:t xml:space="preserve">   3%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4.乙方收款信息：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账户名：</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开户行：</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highlight w:val="yellow"/>
          <w:u w:val="none"/>
          <w:lang w:val="en-US" w:eastAsia="zh-CN" w:bidi="ar-SA"/>
        </w:rPr>
      </w:pPr>
      <w:r>
        <w:rPr>
          <w:rFonts w:hint="eastAsia" w:ascii="宋体" w:hAnsi="宋体" w:eastAsia="宋体" w:cs="Times New Roman"/>
          <w:color w:val="auto"/>
          <w:kern w:val="0"/>
          <w:sz w:val="28"/>
          <w:szCs w:val="28"/>
          <w:highlight w:val="none"/>
          <w:u w:val="none"/>
          <w:lang w:val="en-US" w:eastAsia="zh-CN" w:bidi="ar-SA"/>
        </w:rPr>
        <w:t>账  号：</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乙方收款账户发生变更，应在付款条件成就日至少提前3日书面通知甲方，否则甲方的付款视为有效，相关损失乙方自行承担。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八、违约责任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1.甲方逾期支付乙方货款的，每逾期一天应向甲方支付合同总金额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天后，乙方有权解除合同,并要求甲方赔偿损失并支付合同总金额的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2.乙方逾期将材料货物送至指定地点或逾期通过甲方验收并交付甲方的，每逾期一天应向甲方支付合同总金额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天后，甲方有权解除合同,并要求乙方赔偿损失并支付合同总金额的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3.因乙方原因单方面终止或解除合同的，乙方除应退还甲方已付货款外，还应向甲方支付总价的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的违约金（该违约金与其他单项违约金累计计算）。退还货款应在合同终止或解除后10 日内向甲方付清，否则按逾期付款处理，每逾期一天，应按货款总额的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支付利息。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权利担保:乙方对交付甲方的材料货物，负有保证第三人不得向甲方主张任何权利（包括专利权、著作权、工业设计权等知识产权和所有权等物权及法定优先权和其他权利）的义务；如果第三人向甲方主张权利，由此产生的费用和造成的损失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九、不可抗力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不可抗力仅指战争和自然灾害及其他导致交货或付款地点对外交通中断的客观情况。甲乙双方的任何一方由于不可抗力不能履行合同时，应</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48  </w:t>
      </w:r>
      <w:r>
        <w:rPr>
          <w:rFonts w:hint="eastAsia" w:ascii="宋体" w:hAnsi="宋体" w:eastAsia="宋体" w:cs="Times New Roman"/>
          <w:color w:val="auto"/>
          <w:kern w:val="0"/>
          <w:sz w:val="28"/>
          <w:szCs w:val="28"/>
          <w:lang w:val="en-US" w:eastAsia="zh-CN" w:bidi="ar-SA"/>
        </w:rPr>
        <w:t>小时内向对方通报不能履行或不能完全履行的情况；在取得有关主管机关证明以后，允许延期履行、部分履行或者不履行合同，并根据情况可部分或全部免予承担违约责任。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十、争议解决方式</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双方约定在合同履行过程中产生争议时，共同友好协商解决，若协商不成，则双方约定向甲方住所地人民法院提起诉讼。</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十一、其他</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1.乙方应保证向甲方所开发票均为真实发票，若发现假发票，乙方应及时更换，同时甲方将保留按相关税务条款，上报税务部门，由税务部门对乙方进行处罚的权利。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2.本合同自甲乙双方签字并盖章时起生效，合同约定事项履行完毕时终止；本合同一式肆份，甲乙双方各执贰份。</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3.如有未尽事宜或履行过程中出现新情况，双方可另行协商解决，也可以签订补充协议予以明确，补充协议与本合同具有同等效力。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4.本合同自双方签字盖章之日起生效。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 方：                        乙 方：</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法定代表（或委托人）：        法定代表（或委托人）：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r>
        <w:rPr>
          <w:rFonts w:hint="eastAsia" w:ascii="宋体" w:hAnsi="宋体"/>
          <w:color w:val="auto"/>
          <w:sz w:val="28"/>
          <w:szCs w:val="28"/>
        </w:rPr>
        <w:t>　</w:t>
      </w:r>
      <w:r>
        <w:rPr>
          <w:rFonts w:hint="eastAsia" w:ascii="宋体" w:hAnsi="宋体"/>
          <w:color w:val="auto"/>
          <w:sz w:val="28"/>
          <w:szCs w:val="28"/>
          <w:lang w:val="en-US" w:eastAsia="zh-CN"/>
        </w:rPr>
        <w:t xml:space="preserve">      </w:t>
      </w:r>
      <w:r>
        <w:rPr>
          <w:rFonts w:hint="eastAsia" w:ascii="宋体" w:hAnsi="宋体"/>
          <w:color w:val="auto"/>
          <w:sz w:val="28"/>
          <w:szCs w:val="28"/>
        </w:rPr>
        <w:t>日期：</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年</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月</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日</w:t>
      </w:r>
    </w:p>
    <w:p>
      <w:pPr>
        <w:pStyle w:val="20"/>
        <w:widowControl/>
        <w:wordWrap w:val="0"/>
        <w:topLinePunct/>
        <w:spacing w:beforeAutospacing="1" w:afterAutospacing="1"/>
        <w:jc w:val="left"/>
        <w:rPr>
          <w:rFonts w:ascii="仿宋_GB2312" w:eastAsia="仿宋_GB2312" w:cs="宋体" w:hAnsiTheme="minorEastAsia"/>
          <w:sz w:val="28"/>
          <w:szCs w:val="28"/>
        </w:rPr>
      </w:pPr>
    </w:p>
    <w:sectPr>
      <w:pgSz w:w="11906" w:h="16838"/>
      <w:pgMar w:top="2268" w:right="1531" w:bottom="2268" w:left="1531" w:header="851" w:footer="992" w:gutter="0"/>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sM1LdYBAACw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5tKhB5FyaYRGkcPVlx2A0Tn51rT0iz&#10;x31oqMX1p0R/tih3Wp3ZCLOxm42DD2rf4cTL3B38h0PE2fLIqcMIi1STgw+ZSU9Llzblbz9XPf9o&#10;m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IsM1LdYBAACwAwAADgAAAAAAAAABACAAAAAe&#10;AQAAZHJzL2Uyb0RvYy54bWxQSwUGAAAAAAYABgBZAQAAZgUAAAAA&#10;">
              <v:fill on="f" focussize="0,0"/>
              <v:stroke on="f"/>
              <v:imagedata o:title=""/>
              <o:lock v:ext="edit" aspectratio="f"/>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40126D"/>
    <w:multiLevelType w:val="singleLevel"/>
    <w:tmpl w:val="7B40126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64"/>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1M2FjNmI5NDIyZTlmZmM5YjExYTRmMzI4MGRmZWY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7F0A0E"/>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1DAB"/>
    <w:rsid w:val="00D55CEB"/>
    <w:rsid w:val="00D57998"/>
    <w:rsid w:val="00D57D58"/>
    <w:rsid w:val="00D60C20"/>
    <w:rsid w:val="00D61FA2"/>
    <w:rsid w:val="00D62EA7"/>
    <w:rsid w:val="00D656C6"/>
    <w:rsid w:val="00D7034F"/>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1050F22"/>
    <w:rsid w:val="015948B5"/>
    <w:rsid w:val="01C734EC"/>
    <w:rsid w:val="020971DC"/>
    <w:rsid w:val="0292777D"/>
    <w:rsid w:val="02A11568"/>
    <w:rsid w:val="030B6F8D"/>
    <w:rsid w:val="038A207F"/>
    <w:rsid w:val="0394039C"/>
    <w:rsid w:val="04795954"/>
    <w:rsid w:val="04A307FD"/>
    <w:rsid w:val="0523752F"/>
    <w:rsid w:val="05410C53"/>
    <w:rsid w:val="05534A0F"/>
    <w:rsid w:val="05746676"/>
    <w:rsid w:val="0645746D"/>
    <w:rsid w:val="06591C5B"/>
    <w:rsid w:val="06985E1A"/>
    <w:rsid w:val="070E78C9"/>
    <w:rsid w:val="073473AE"/>
    <w:rsid w:val="075C3383"/>
    <w:rsid w:val="077961C6"/>
    <w:rsid w:val="07AD6DAA"/>
    <w:rsid w:val="0834374D"/>
    <w:rsid w:val="08DF4A1E"/>
    <w:rsid w:val="09217616"/>
    <w:rsid w:val="0948744B"/>
    <w:rsid w:val="098766BF"/>
    <w:rsid w:val="0A1B2AD8"/>
    <w:rsid w:val="0B261F06"/>
    <w:rsid w:val="0B441221"/>
    <w:rsid w:val="0B8A27D2"/>
    <w:rsid w:val="0B974199"/>
    <w:rsid w:val="0C515553"/>
    <w:rsid w:val="0CCC2492"/>
    <w:rsid w:val="0CDD3BB9"/>
    <w:rsid w:val="0CED41CD"/>
    <w:rsid w:val="0DD51B22"/>
    <w:rsid w:val="0DFB7F24"/>
    <w:rsid w:val="0E196046"/>
    <w:rsid w:val="0EA004DC"/>
    <w:rsid w:val="0EDE39CC"/>
    <w:rsid w:val="0EE71A73"/>
    <w:rsid w:val="0F5512C6"/>
    <w:rsid w:val="0F6A22CD"/>
    <w:rsid w:val="0FB3306C"/>
    <w:rsid w:val="10283AD0"/>
    <w:rsid w:val="10305890"/>
    <w:rsid w:val="105A290D"/>
    <w:rsid w:val="10637A13"/>
    <w:rsid w:val="1085230F"/>
    <w:rsid w:val="10F205C8"/>
    <w:rsid w:val="112C7F61"/>
    <w:rsid w:val="11926E1F"/>
    <w:rsid w:val="11A86613"/>
    <w:rsid w:val="121D621A"/>
    <w:rsid w:val="12733CD1"/>
    <w:rsid w:val="12743088"/>
    <w:rsid w:val="127C300E"/>
    <w:rsid w:val="127F4F73"/>
    <w:rsid w:val="12943ED3"/>
    <w:rsid w:val="13046916"/>
    <w:rsid w:val="130F5C30"/>
    <w:rsid w:val="13803049"/>
    <w:rsid w:val="13D12B2B"/>
    <w:rsid w:val="13FA2DEF"/>
    <w:rsid w:val="14033623"/>
    <w:rsid w:val="14147319"/>
    <w:rsid w:val="148B12DD"/>
    <w:rsid w:val="14F227BD"/>
    <w:rsid w:val="165C1A47"/>
    <w:rsid w:val="167D49ED"/>
    <w:rsid w:val="16E97ED4"/>
    <w:rsid w:val="16F05793"/>
    <w:rsid w:val="17E83F30"/>
    <w:rsid w:val="18236DE3"/>
    <w:rsid w:val="18FA4C8D"/>
    <w:rsid w:val="19265073"/>
    <w:rsid w:val="19882298"/>
    <w:rsid w:val="19F3326C"/>
    <w:rsid w:val="1A11609F"/>
    <w:rsid w:val="1A3A5961"/>
    <w:rsid w:val="1A5B1D18"/>
    <w:rsid w:val="1AE066F3"/>
    <w:rsid w:val="1B0709BD"/>
    <w:rsid w:val="1B087C8D"/>
    <w:rsid w:val="1B426688"/>
    <w:rsid w:val="1B43797A"/>
    <w:rsid w:val="1BBC04D8"/>
    <w:rsid w:val="1C873D00"/>
    <w:rsid w:val="1DEA29C8"/>
    <w:rsid w:val="1E4E53E7"/>
    <w:rsid w:val="1EB60EE7"/>
    <w:rsid w:val="1F1A6FB7"/>
    <w:rsid w:val="1F972A45"/>
    <w:rsid w:val="1FEF5618"/>
    <w:rsid w:val="20E43F92"/>
    <w:rsid w:val="21171940"/>
    <w:rsid w:val="211B1C44"/>
    <w:rsid w:val="218E681B"/>
    <w:rsid w:val="21A21BDA"/>
    <w:rsid w:val="21FB47FD"/>
    <w:rsid w:val="226E18DB"/>
    <w:rsid w:val="231F3F1C"/>
    <w:rsid w:val="242F7A4C"/>
    <w:rsid w:val="24377DB2"/>
    <w:rsid w:val="246B191D"/>
    <w:rsid w:val="247A0A47"/>
    <w:rsid w:val="2493425F"/>
    <w:rsid w:val="25791DE9"/>
    <w:rsid w:val="26046B67"/>
    <w:rsid w:val="265476AD"/>
    <w:rsid w:val="26E40684"/>
    <w:rsid w:val="27272AC9"/>
    <w:rsid w:val="27431758"/>
    <w:rsid w:val="276160F6"/>
    <w:rsid w:val="27786E27"/>
    <w:rsid w:val="2781312E"/>
    <w:rsid w:val="27920F20"/>
    <w:rsid w:val="27CC7BFD"/>
    <w:rsid w:val="27D21335"/>
    <w:rsid w:val="27E0349A"/>
    <w:rsid w:val="282A20AC"/>
    <w:rsid w:val="284059E7"/>
    <w:rsid w:val="28564227"/>
    <w:rsid w:val="28A5511F"/>
    <w:rsid w:val="296050FB"/>
    <w:rsid w:val="2A296495"/>
    <w:rsid w:val="2A377336"/>
    <w:rsid w:val="2A5910E7"/>
    <w:rsid w:val="2A8E7DDD"/>
    <w:rsid w:val="2AE57A87"/>
    <w:rsid w:val="2AFF5219"/>
    <w:rsid w:val="2B78158A"/>
    <w:rsid w:val="2BFC5130"/>
    <w:rsid w:val="2C825219"/>
    <w:rsid w:val="2C9378D8"/>
    <w:rsid w:val="2CC772A8"/>
    <w:rsid w:val="2CC8468F"/>
    <w:rsid w:val="2D750BF9"/>
    <w:rsid w:val="2D8F7FE8"/>
    <w:rsid w:val="2E110E54"/>
    <w:rsid w:val="2ED95C16"/>
    <w:rsid w:val="2F2D041E"/>
    <w:rsid w:val="2FBA33F9"/>
    <w:rsid w:val="2FC75471"/>
    <w:rsid w:val="30366419"/>
    <w:rsid w:val="31A11A7A"/>
    <w:rsid w:val="31F30C90"/>
    <w:rsid w:val="3281654B"/>
    <w:rsid w:val="32D16665"/>
    <w:rsid w:val="34051FD7"/>
    <w:rsid w:val="342F232A"/>
    <w:rsid w:val="34362BC5"/>
    <w:rsid w:val="3454129D"/>
    <w:rsid w:val="34834136"/>
    <w:rsid w:val="348E2AAD"/>
    <w:rsid w:val="35321388"/>
    <w:rsid w:val="3572793B"/>
    <w:rsid w:val="359658D8"/>
    <w:rsid w:val="35CB31BC"/>
    <w:rsid w:val="35E05CF8"/>
    <w:rsid w:val="35E72633"/>
    <w:rsid w:val="35FD4FC2"/>
    <w:rsid w:val="363960DF"/>
    <w:rsid w:val="36413BAB"/>
    <w:rsid w:val="36802D11"/>
    <w:rsid w:val="36CC217E"/>
    <w:rsid w:val="36F73F5F"/>
    <w:rsid w:val="372530D9"/>
    <w:rsid w:val="37406919"/>
    <w:rsid w:val="37A907A4"/>
    <w:rsid w:val="37D54DA7"/>
    <w:rsid w:val="3855675F"/>
    <w:rsid w:val="3886000A"/>
    <w:rsid w:val="38F23760"/>
    <w:rsid w:val="39076CB7"/>
    <w:rsid w:val="390F1FF4"/>
    <w:rsid w:val="393E2A86"/>
    <w:rsid w:val="39780DE9"/>
    <w:rsid w:val="3992318D"/>
    <w:rsid w:val="3A0F72CA"/>
    <w:rsid w:val="3A757A57"/>
    <w:rsid w:val="3A9530D0"/>
    <w:rsid w:val="3ABC274E"/>
    <w:rsid w:val="3B257CFB"/>
    <w:rsid w:val="3B463CF1"/>
    <w:rsid w:val="3B565B2B"/>
    <w:rsid w:val="3BC47CD1"/>
    <w:rsid w:val="3BC57F17"/>
    <w:rsid w:val="3BF65F1F"/>
    <w:rsid w:val="3CB2539B"/>
    <w:rsid w:val="3CCA5B15"/>
    <w:rsid w:val="3D6E775F"/>
    <w:rsid w:val="3DC54FBA"/>
    <w:rsid w:val="3E032972"/>
    <w:rsid w:val="3E7D2E7B"/>
    <w:rsid w:val="3FEF7DC8"/>
    <w:rsid w:val="408842E8"/>
    <w:rsid w:val="40893B93"/>
    <w:rsid w:val="40FD63C9"/>
    <w:rsid w:val="410E3866"/>
    <w:rsid w:val="421153A0"/>
    <w:rsid w:val="42B44976"/>
    <w:rsid w:val="43701691"/>
    <w:rsid w:val="438E529F"/>
    <w:rsid w:val="43E05660"/>
    <w:rsid w:val="442E17F1"/>
    <w:rsid w:val="44D34460"/>
    <w:rsid w:val="44E31F4C"/>
    <w:rsid w:val="454A4E2B"/>
    <w:rsid w:val="45796DB6"/>
    <w:rsid w:val="46044126"/>
    <w:rsid w:val="46277D07"/>
    <w:rsid w:val="462F3918"/>
    <w:rsid w:val="46E44703"/>
    <w:rsid w:val="471D2A64"/>
    <w:rsid w:val="471F573B"/>
    <w:rsid w:val="479A7234"/>
    <w:rsid w:val="47B277AE"/>
    <w:rsid w:val="47EA16CA"/>
    <w:rsid w:val="48236C5A"/>
    <w:rsid w:val="48311B48"/>
    <w:rsid w:val="484F15C0"/>
    <w:rsid w:val="485560C7"/>
    <w:rsid w:val="48B96B35"/>
    <w:rsid w:val="49475F9D"/>
    <w:rsid w:val="495024F9"/>
    <w:rsid w:val="495A201C"/>
    <w:rsid w:val="49650873"/>
    <w:rsid w:val="498834B3"/>
    <w:rsid w:val="498F13AD"/>
    <w:rsid w:val="49971E41"/>
    <w:rsid w:val="49AD39EF"/>
    <w:rsid w:val="49D034E1"/>
    <w:rsid w:val="49F7070C"/>
    <w:rsid w:val="4A671493"/>
    <w:rsid w:val="4ADC2B6E"/>
    <w:rsid w:val="4B4C0579"/>
    <w:rsid w:val="4B7E19E0"/>
    <w:rsid w:val="4B87683C"/>
    <w:rsid w:val="4BB9615E"/>
    <w:rsid w:val="4C3C6D85"/>
    <w:rsid w:val="4C3E03CB"/>
    <w:rsid w:val="4CEC173B"/>
    <w:rsid w:val="4D264BB3"/>
    <w:rsid w:val="4E5E1080"/>
    <w:rsid w:val="4E630603"/>
    <w:rsid w:val="4EF91B7D"/>
    <w:rsid w:val="4F5B250A"/>
    <w:rsid w:val="4F736C2D"/>
    <w:rsid w:val="4FBE31BC"/>
    <w:rsid w:val="506E77D2"/>
    <w:rsid w:val="50BB63DF"/>
    <w:rsid w:val="516C61D6"/>
    <w:rsid w:val="519C3B1D"/>
    <w:rsid w:val="51E24EC1"/>
    <w:rsid w:val="51F31C9E"/>
    <w:rsid w:val="5223151A"/>
    <w:rsid w:val="52825A2C"/>
    <w:rsid w:val="52BC2AEE"/>
    <w:rsid w:val="52F062DE"/>
    <w:rsid w:val="533645FC"/>
    <w:rsid w:val="538F3ACB"/>
    <w:rsid w:val="53D742FA"/>
    <w:rsid w:val="54073513"/>
    <w:rsid w:val="5490074F"/>
    <w:rsid w:val="553720AE"/>
    <w:rsid w:val="55401C7F"/>
    <w:rsid w:val="557C0A86"/>
    <w:rsid w:val="55F86638"/>
    <w:rsid w:val="562B6663"/>
    <w:rsid w:val="56462516"/>
    <w:rsid w:val="564E57DB"/>
    <w:rsid w:val="567D5E0B"/>
    <w:rsid w:val="56911709"/>
    <w:rsid w:val="569618A6"/>
    <w:rsid w:val="572C4C43"/>
    <w:rsid w:val="575E2251"/>
    <w:rsid w:val="5765719A"/>
    <w:rsid w:val="583754A8"/>
    <w:rsid w:val="58BE1FAD"/>
    <w:rsid w:val="58FA381E"/>
    <w:rsid w:val="591761E1"/>
    <w:rsid w:val="5A476883"/>
    <w:rsid w:val="5A5856EE"/>
    <w:rsid w:val="5A78003A"/>
    <w:rsid w:val="5B034B4C"/>
    <w:rsid w:val="5B67099C"/>
    <w:rsid w:val="5B7D0716"/>
    <w:rsid w:val="5BDF33B2"/>
    <w:rsid w:val="5C5919A3"/>
    <w:rsid w:val="5C6F4617"/>
    <w:rsid w:val="5C7B11A5"/>
    <w:rsid w:val="5D2B606A"/>
    <w:rsid w:val="5D510ADD"/>
    <w:rsid w:val="5DBA6C78"/>
    <w:rsid w:val="5E3B58BC"/>
    <w:rsid w:val="5EDA2E9D"/>
    <w:rsid w:val="5EE77864"/>
    <w:rsid w:val="5F092B01"/>
    <w:rsid w:val="5F855439"/>
    <w:rsid w:val="60003AA9"/>
    <w:rsid w:val="601B5418"/>
    <w:rsid w:val="606A53A3"/>
    <w:rsid w:val="60B30280"/>
    <w:rsid w:val="60B8663E"/>
    <w:rsid w:val="60D40338"/>
    <w:rsid w:val="6104697D"/>
    <w:rsid w:val="616F10C7"/>
    <w:rsid w:val="61B162DD"/>
    <w:rsid w:val="61ED042D"/>
    <w:rsid w:val="62396993"/>
    <w:rsid w:val="628964F1"/>
    <w:rsid w:val="63635DA0"/>
    <w:rsid w:val="63E3393A"/>
    <w:rsid w:val="642C2F80"/>
    <w:rsid w:val="65881DDD"/>
    <w:rsid w:val="659217C6"/>
    <w:rsid w:val="66B97ED6"/>
    <w:rsid w:val="66C76EAB"/>
    <w:rsid w:val="66DD26FB"/>
    <w:rsid w:val="671C58BF"/>
    <w:rsid w:val="67695B2A"/>
    <w:rsid w:val="67B64262"/>
    <w:rsid w:val="68556529"/>
    <w:rsid w:val="68806903"/>
    <w:rsid w:val="68872076"/>
    <w:rsid w:val="6903561E"/>
    <w:rsid w:val="69FE5EC6"/>
    <w:rsid w:val="6A0E2B43"/>
    <w:rsid w:val="6A2F696F"/>
    <w:rsid w:val="6A46511E"/>
    <w:rsid w:val="6A76626E"/>
    <w:rsid w:val="6A9B69A3"/>
    <w:rsid w:val="6ADE1FDD"/>
    <w:rsid w:val="6AF02BFD"/>
    <w:rsid w:val="6B6C5A40"/>
    <w:rsid w:val="6B893404"/>
    <w:rsid w:val="6BE97F42"/>
    <w:rsid w:val="6BFB06DE"/>
    <w:rsid w:val="6C53201A"/>
    <w:rsid w:val="6C9551AF"/>
    <w:rsid w:val="6CA976D1"/>
    <w:rsid w:val="6CBF0EA7"/>
    <w:rsid w:val="6CF84520"/>
    <w:rsid w:val="6D1001AE"/>
    <w:rsid w:val="6D33680A"/>
    <w:rsid w:val="6DAC7479"/>
    <w:rsid w:val="6E2356E4"/>
    <w:rsid w:val="6E4D3140"/>
    <w:rsid w:val="6E5F20F5"/>
    <w:rsid w:val="6EA7268E"/>
    <w:rsid w:val="6EB97BB5"/>
    <w:rsid w:val="6EC83CC9"/>
    <w:rsid w:val="6F5C6C7D"/>
    <w:rsid w:val="6F842B10"/>
    <w:rsid w:val="6FF33A35"/>
    <w:rsid w:val="6FFC1672"/>
    <w:rsid w:val="706866C9"/>
    <w:rsid w:val="70FB687C"/>
    <w:rsid w:val="716C3474"/>
    <w:rsid w:val="71DF58B5"/>
    <w:rsid w:val="720672B3"/>
    <w:rsid w:val="723D7A6E"/>
    <w:rsid w:val="72833862"/>
    <w:rsid w:val="72836C88"/>
    <w:rsid w:val="728A11CF"/>
    <w:rsid w:val="72E775B6"/>
    <w:rsid w:val="73036821"/>
    <w:rsid w:val="73A533B4"/>
    <w:rsid w:val="73B85648"/>
    <w:rsid w:val="73C410BC"/>
    <w:rsid w:val="73CA041C"/>
    <w:rsid w:val="7418023C"/>
    <w:rsid w:val="74875D6A"/>
    <w:rsid w:val="74DE18F2"/>
    <w:rsid w:val="74F15A32"/>
    <w:rsid w:val="75016F10"/>
    <w:rsid w:val="75122BDC"/>
    <w:rsid w:val="757C7BAC"/>
    <w:rsid w:val="764A782F"/>
    <w:rsid w:val="774F2FB5"/>
    <w:rsid w:val="7800123A"/>
    <w:rsid w:val="781B45DD"/>
    <w:rsid w:val="78AC2C70"/>
    <w:rsid w:val="78AF57F8"/>
    <w:rsid w:val="78F011A9"/>
    <w:rsid w:val="79A30EA2"/>
    <w:rsid w:val="79DF10D7"/>
    <w:rsid w:val="7A5F6093"/>
    <w:rsid w:val="7AD4000F"/>
    <w:rsid w:val="7AFA5992"/>
    <w:rsid w:val="7BB202E9"/>
    <w:rsid w:val="7BE5216B"/>
    <w:rsid w:val="7BF16041"/>
    <w:rsid w:val="7C3A7203"/>
    <w:rsid w:val="7D3D6FC7"/>
    <w:rsid w:val="7D966FEB"/>
    <w:rsid w:val="7E0275B1"/>
    <w:rsid w:val="7E7818F2"/>
    <w:rsid w:val="7E97382D"/>
    <w:rsid w:val="7EB02D92"/>
    <w:rsid w:val="7ED72FBC"/>
    <w:rsid w:val="7EFE4661"/>
    <w:rsid w:val="7F0957F8"/>
    <w:rsid w:val="7F637408"/>
    <w:rsid w:val="7FA2228B"/>
    <w:rsid w:val="7FE5681A"/>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rPr>
      <w:rFonts w:hint="eastAsia" w:ascii="Times New Roman" w:hAnsi="Times New Roman"/>
      <w:szCs w:val="20"/>
    </w:rPr>
  </w:style>
  <w:style w:type="paragraph" w:styleId="5">
    <w:name w:val="Date"/>
    <w:basedOn w:val="1"/>
    <w:next w:val="1"/>
    <w:link w:val="16"/>
    <w:semiHidden/>
    <w:unhideWhenUsed/>
    <w:qFormat/>
    <w:uiPriority w:val="0"/>
    <w:pPr>
      <w:ind w:left="100" w:leftChars="2500"/>
    </w:p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paragraph" w:styleId="9">
    <w:name w:val="Body Text First Indent"/>
    <w:basedOn w:val="2"/>
    <w:unhideWhenUsed/>
    <w:qFormat/>
    <w:uiPriority w:val="99"/>
    <w:pPr>
      <w:ind w:firstLine="420" w:firstLineChars="100"/>
    </w:p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列出段落1"/>
    <w:basedOn w:val="1"/>
    <w:qFormat/>
    <w:uiPriority w:val="34"/>
    <w:pPr>
      <w:ind w:firstLine="420" w:firstLineChars="200"/>
    </w:pPr>
  </w:style>
  <w:style w:type="character" w:customStyle="1" w:styleId="14">
    <w:name w:val="页眉 Char"/>
    <w:basedOn w:val="12"/>
    <w:link w:val="7"/>
    <w:semiHidden/>
    <w:qFormat/>
    <w:uiPriority w:val="99"/>
    <w:rPr>
      <w:sz w:val="18"/>
      <w:szCs w:val="18"/>
    </w:rPr>
  </w:style>
  <w:style w:type="character" w:customStyle="1" w:styleId="15">
    <w:name w:val="页脚 Char"/>
    <w:basedOn w:val="12"/>
    <w:link w:val="6"/>
    <w:semiHidden/>
    <w:qFormat/>
    <w:uiPriority w:val="99"/>
    <w:rPr>
      <w:sz w:val="18"/>
      <w:szCs w:val="18"/>
    </w:rPr>
  </w:style>
  <w:style w:type="character" w:customStyle="1" w:styleId="16">
    <w:name w:val="日期 Char"/>
    <w:basedOn w:val="12"/>
    <w:link w:val="5"/>
    <w:semiHidden/>
    <w:qFormat/>
    <w:uiPriority w:val="0"/>
    <w:rPr>
      <w:rFonts w:cs="黑体"/>
      <w:kern w:val="2"/>
      <w:sz w:val="21"/>
      <w:szCs w:val="22"/>
    </w:rPr>
  </w:style>
  <w:style w:type="paragraph" w:customStyle="1" w:styleId="17">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18">
    <w:name w:val="pa-2"/>
    <w:basedOn w:val="1"/>
    <w:qFormat/>
    <w:uiPriority w:val="0"/>
    <w:pPr>
      <w:widowControl/>
      <w:spacing w:line="480" w:lineRule="atLeast"/>
    </w:pPr>
    <w:rPr>
      <w:rFonts w:ascii="宋体" w:hAnsi="宋体" w:cs="宋体"/>
      <w:kern w:val="0"/>
      <w:sz w:val="24"/>
      <w:szCs w:val="24"/>
    </w:rPr>
  </w:style>
  <w:style w:type="character" w:customStyle="1" w:styleId="19">
    <w:name w:val="ca-21"/>
    <w:qFormat/>
    <w:uiPriority w:val="0"/>
    <w:rPr>
      <w:rFonts w:ascii="宋体" w:hAnsi="宋体" w:eastAsia="宋体" w:cs="宋体"/>
      <w:sz w:val="24"/>
      <w:szCs w:val="24"/>
    </w:rPr>
  </w:style>
  <w:style w:type="paragraph" w:customStyle="1" w:styleId="20">
    <w:name w:val="正文_1"/>
    <w:qFormat/>
    <w:uiPriority w:val="0"/>
    <w:pPr>
      <w:widowControl w:val="0"/>
      <w:jc w:val="both"/>
    </w:pPr>
    <w:rPr>
      <w:rFonts w:ascii="宋体" w:hAnsi="Times New Roman" w:eastAsia="宋体" w:cs="Times New Roman"/>
      <w:sz w:val="34"/>
      <w:lang w:val="en-US" w:eastAsia="zh-CN" w:bidi="ar-SA"/>
    </w:rPr>
  </w:style>
  <w:style w:type="paragraph" w:customStyle="1" w:styleId="21">
    <w:name w:val="样式 首行缩进:  2 字符_0"/>
    <w:basedOn w:val="1"/>
    <w:qFormat/>
    <w:uiPriority w:val="0"/>
    <w:pPr>
      <w:spacing w:line="400" w:lineRule="exact"/>
      <w:ind w:firstLine="200" w:firstLineChars="200"/>
    </w:pPr>
    <w:rPr>
      <w:rFonts w:ascii="Calibri" w:hAnsi="Calibri" w:eastAsia="宋体" w:cs="宋体"/>
      <w:sz w:val="24"/>
    </w:rPr>
  </w:style>
  <w:style w:type="paragraph" w:customStyle="1" w:styleId="22">
    <w:name w:val="正文缩进_0"/>
    <w:basedOn w:val="20"/>
    <w:unhideWhenUsed/>
    <w:qFormat/>
    <w:uiPriority w:val="0"/>
    <w:pPr>
      <w:adjustRightInd w:val="0"/>
      <w:spacing w:line="360" w:lineRule="atLeast"/>
      <w:ind w:firstLine="482"/>
    </w:pPr>
    <w:rPr>
      <w:rFonts w:ascii="Calibri" w:hAnsi="Calibri"/>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24</Pages>
  <Words>7269</Words>
  <Characters>7529</Characters>
  <Lines>32</Lines>
  <Paragraphs>9</Paragraphs>
  <TotalTime>8</TotalTime>
  <ScaleCrop>false</ScaleCrop>
  <LinksUpToDate>false</LinksUpToDate>
  <CharactersWithSpaces>8518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李   </cp:lastModifiedBy>
  <cp:lastPrinted>2022-09-25T09:07:00Z</cp:lastPrinted>
  <dcterms:modified xsi:type="dcterms:W3CDTF">2022-09-25T09:29:18Z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59F3D65E3EE94764B46C0312DE89D8F9</vt:lpwstr>
  </property>
</Properties>
</file>